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bdmd-20260930x6k.htm"/>
      <w:bookmarkStart w:id="1" w:name="ksbdmd20260930x6k"/>
      <w:bookmarkEnd w:id="0"/>
      <w:bookmarkEnd w:id="1"/>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244dcc09_2cec_4e3e_a57f_642bb233d13d"/>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13a-16 OR 15d-16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month of September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001-42300</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Baird Medical Investment Holdings Limited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Room 202, 2/F, Baide Building, Building 11, No.15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Rongtong Street, Yuexiu District, Guangzhou,</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0"/>
        <w:ind w:left="0" w:right="0" w:hanging="0"/>
        <w:jc w:val="left"/>
        <w:rPr/>
      </w:pPr>
      <w:r>
        <w:rPr/>
        <w:t>​</w:t>
      </w:r>
    </w:p>
    <w:tbl>
      <w:tblPr>
        <w:tblW w:w="2582" w:type="dxa"/>
        <w:jc w:val="left"/>
        <w:tblInd w:w="0" w:type="dxa"/>
        <w:tblLayout w:type="fixed"/>
        <w:tblCellMar>
          <w:top w:w="0" w:type="dxa"/>
          <w:left w:w="0" w:type="dxa"/>
          <w:bottom w:w="0" w:type="dxa"/>
          <w:right w:w="0" w:type="dxa"/>
        </w:tblCellMar>
      </w:tblPr>
      <w:tblGrid>
        <w:gridCol w:w="1276"/>
        <w:gridCol w:w="1306"/>
      </w:tblGrid>
      <w:tr>
        <w:trPr/>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Form 20-F   ☒</w:t>
            </w:r>
          </w:p>
        </w:tc>
        <w:tc>
          <w:tcPr>
            <w:tcW w:w="1306"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Form 40-F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 w:name="_8dd48dee_f1fb_4244_81ce_9c07bc6cde94"/>
      <w:bookmarkEnd w:id="3"/>
      <w:r>
        <w:rPr>
          <w:rFonts w:ascii="Times New Roman;Times;serif" w:hAnsi="Times New Roman;Times;serif"/>
          <w:b/>
          <w:sz w:val="20"/>
        </w:rPr>
        <w:t>EXPLANATORY NOTE</w:t>
      </w:r>
    </w:p>
    <w:p>
      <w:pPr>
        <w:pStyle w:val="TextBody"/>
        <w:bidi w:val="0"/>
        <w:spacing w:before="0" w:after="240"/>
        <w:ind w:left="0" w:right="0" w:firstLine="360"/>
        <w:jc w:val="left"/>
        <w:rPr/>
      </w:pPr>
      <w:r>
        <w:rPr>
          <w:rFonts w:ascii="Times New Roman;Times;serif" w:hAnsi="Times New Roman;Times;serif"/>
          <w:sz w:val="20"/>
        </w:rPr>
        <w:t xml:space="preserve">The document attached as Exhibit 99.1 to this Form 6-K is hereby incorporated by reference into the registrant’s registration statements on (1) </w:t>
      </w:r>
      <w:hyperlink r:id="rId2">
        <w:r>
          <w:rPr>
            <w:rStyle w:val="InternetLink"/>
            <w:rFonts w:ascii="Times New Roman;Times;serif" w:hAnsi="Times New Roman;Times;serif"/>
            <w:b w:val="false"/>
            <w:i w:val="false"/>
            <w:caps w:val="false"/>
            <w:smallCaps w:val="false"/>
            <w:sz w:val="20"/>
          </w:rPr>
          <w:t>Form F-3, as amended</w:t>
        </w:r>
      </w:hyperlink>
      <w:r>
        <w:rPr>
          <w:rFonts w:ascii="Times New Roman;Times;serif" w:hAnsi="Times New Roman;Times;serif"/>
          <w:sz w:val="20"/>
        </w:rPr>
        <w:t xml:space="preserve">, initially filed with the U.S. Securities and Exchange Commission (the “Commission”) on May 22, 2026 (Registration No. 333-296153), (2) Form F-1, as amended, initially filed with the Commission on November 15, 2024, including </w:t>
      </w:r>
      <w:hyperlink r:id="rId3">
        <w:r>
          <w:rPr>
            <w:rStyle w:val="InternetLink"/>
            <w:rFonts w:ascii="Times New Roman;Times;serif" w:hAnsi="Times New Roman;Times;serif"/>
            <w:b w:val="false"/>
            <w:i w:val="false"/>
            <w:caps w:val="false"/>
            <w:smallCaps w:val="false"/>
            <w:sz w:val="20"/>
          </w:rPr>
          <w:t>Post-Effective Amendment No. 2 to Form F-1 on Form F-3</w:t>
        </w:r>
      </w:hyperlink>
      <w:r>
        <w:rPr>
          <w:rFonts w:ascii="Times New Roman;Times;serif" w:hAnsi="Times New Roman;Times;serif"/>
          <w:sz w:val="20"/>
        </w:rPr>
        <w:t xml:space="preserve"> filed with the Commission on August 6, 2026 (Registration No. 333-283249), (3) </w:t>
      </w:r>
      <w:hyperlink r:id="rId4">
        <w:r>
          <w:rPr>
            <w:rStyle w:val="InternetLink"/>
            <w:rFonts w:ascii="Times New Roman;Times;serif" w:hAnsi="Times New Roman;Times;serif"/>
            <w:b w:val="false"/>
            <w:i w:val="false"/>
            <w:caps w:val="false"/>
            <w:smallCaps w:val="false"/>
            <w:sz w:val="20"/>
          </w:rPr>
          <w:t>Form S-8 filed with the Commission on January 10, 2025</w:t>
        </w:r>
      </w:hyperlink>
      <w:r>
        <w:rPr>
          <w:rFonts w:ascii="Times New Roman;Times;serif" w:hAnsi="Times New Roman;Times;serif"/>
          <w:sz w:val="20"/>
        </w:rPr>
        <w:t xml:space="preserve"> (Registration No. 333-284206), as supplemented by the registration statement on </w:t>
      </w:r>
      <w:hyperlink r:id="rId5">
        <w:r>
          <w:rPr>
            <w:rStyle w:val="InternetLink"/>
            <w:rFonts w:ascii="Times New Roman;Times;serif" w:hAnsi="Times New Roman;Times;serif"/>
            <w:b w:val="false"/>
            <w:i w:val="false"/>
            <w:caps w:val="false"/>
            <w:smallCaps w:val="false"/>
            <w:sz w:val="20"/>
          </w:rPr>
          <w:t>Form S-8 filed with the Commission on March 10, 2026</w:t>
        </w:r>
      </w:hyperlink>
      <w:r>
        <w:rPr>
          <w:rFonts w:ascii="Times New Roman;Times;serif" w:hAnsi="Times New Roman;Times;serif"/>
          <w:sz w:val="20"/>
        </w:rPr>
        <w:t>, and shall be a part thereof from the date on which this Form 6-K is furnished, to the extent not superseded by documents or reports subsequently filed or furnished.</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 w:name="_a220c2b2_daf1_4c0e_9119_246b74d05e4f"/>
      <w:bookmarkEnd w:id="4"/>
      <w:r>
        <w:rPr>
          <w:rFonts w:ascii="Times New Roman;Times;serif" w:hAnsi="Times New Roman;Times;serif"/>
          <w:b/>
          <w:sz w:val="20"/>
        </w:rPr>
        <w:t>SIGNATURE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348" w:type="dxa"/>
        <w:jc w:val="left"/>
        <w:tblInd w:w="0" w:type="dxa"/>
        <w:tblLayout w:type="fixed"/>
        <w:tblCellMar>
          <w:top w:w="0" w:type="dxa"/>
          <w:left w:w="0" w:type="dxa"/>
          <w:bottom w:w="0" w:type="dxa"/>
          <w:right w:w="0" w:type="dxa"/>
        </w:tblCellMar>
      </w:tblPr>
      <w:tblGrid>
        <w:gridCol w:w="161"/>
        <w:gridCol w:w="691"/>
        <w:gridCol w:w="3496"/>
      </w:tblGrid>
      <w:tr>
        <w:trPr/>
        <w:tc>
          <w:tcPr>
            <w:tcW w:w="1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Dated: </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2026</w:t>
            </w:r>
          </w:p>
        </w:tc>
      </w:tr>
      <w:tr>
        <w:trPr/>
        <w:tc>
          <w:tcPr>
            <w:tcW w:w="1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349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Chairwoman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 w:name="_9b186204_d962_4241_8301_558d35e78d7c"/>
      <w:bookmarkEnd w:id="5"/>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982"/>
        <w:gridCol w:w="109"/>
        <w:gridCol w:w="9114"/>
      </w:tblGrid>
      <w:tr>
        <w:trPr/>
        <w:tc>
          <w:tcPr>
            <w:tcW w:w="98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99.1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pPr>
            <w:hyperlink w:anchor="bdmd-20260930xex99d1.htm">
              <w:r>
                <w:rPr>
                  <w:rStyle w:val="InternetLink"/>
                  <w:rFonts w:ascii="Times New Roman;Times;serif" w:hAnsi="Times New Roman;Times;serif"/>
                  <w:b w:val="false"/>
                  <w:i w:val="false"/>
                  <w:caps w:val="false"/>
                  <w:smallCaps w:val="false"/>
                  <w:sz w:val="20"/>
                </w:rPr>
                <w:t>Interim Condensed Consolidated Financial Statements as of December 31, 2025 and June 30, 2026 (unaudited) and for the six months ended June 30, 2025 (unaudited) and 2026 (unaudited)</w:t>
              </w:r>
            </w:hyperlink>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99.2 </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pPr>
            <w:hyperlink w:anchor="bdmd-ex99d2.htm">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11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bookmarkStart w:id="6" w:name="bdmd-20260930xex99d1.htm"/>
        <w:bookmarkStart w:id="7" w:name="ksbdmd20260930xex99d1"/>
        <w:bookmarkEnd w:id="6"/>
        <w:bookmarkEnd w:id="7"/>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bookmarkStart w:id="8" w:name="TOC"/>
      <w:bookmarkStart w:id="9" w:name="_0fb96d57_8c73_495c_a881_42d0bd8daf02"/>
      <w:bookmarkStart w:id="10" w:name="INDEXTOFINANCIALSTATEMENTS_161556"/>
      <w:bookmarkEnd w:id="8"/>
      <w:bookmarkEnd w:id="9"/>
      <w:bookmarkEnd w:id="10"/>
      <w:r>
        <w:rPr>
          <w:rFonts w:ascii="Times New Roman;Times;serif" w:hAnsi="Times New Roman;Times;serif"/>
          <w:b/>
          <w:sz w:val="20"/>
        </w:rPr>
        <w:t>Exhibit 99.1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BAIRD MEDICAL INVESTMENT HOLDINGS LIMITED</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INDEX TO FINANCIAL STATEMENTS</w:t>
      </w:r>
    </w:p>
    <w:tbl>
      <w:tblPr>
        <w:tblW w:w="10205" w:type="dxa"/>
        <w:jc w:val="left"/>
        <w:tblInd w:w="0" w:type="dxa"/>
        <w:tblLayout w:type="fixed"/>
        <w:tblCellMar>
          <w:top w:w="0" w:type="dxa"/>
          <w:left w:w="0" w:type="dxa"/>
          <w:bottom w:w="0" w:type="dxa"/>
          <w:right w:w="0" w:type="dxa"/>
        </w:tblCellMar>
      </w:tblPr>
      <w:tblGrid>
        <w:gridCol w:w="9408"/>
        <w:gridCol w:w="226"/>
        <w:gridCol w:w="571"/>
      </w:tblGrid>
      <w:tr>
        <w:trPr/>
        <w:tc>
          <w:tcPr>
            <w:tcW w:w="9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74080" cy="175260"/>
                      <wp:effectExtent l="0" t="0" r="0" b="0"/>
                      <wp:wrapNone/>
                      <wp:docPr id="1" name="Frame1"/>
                      <a:graphic xmlns:a="http://schemas.openxmlformats.org/drawingml/2006/main">
                        <a:graphicData uri="http://schemas.microsoft.com/office/word/2010/wordprocessingShape">
                          <wps:wsp>
                            <wps:cNvSpPr txBox="1"/>
                            <wps:spPr>
                              <a:xfrm>
                                <a:off x="0" y="0"/>
                                <a:ext cx="597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62585" cy="29210"/>
                      <wp:effectExtent l="0" t="0" r="0" b="0"/>
                      <wp:wrapNone/>
                      <wp:docPr id="2" name="Frame2"/>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0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408"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Baird Medical Investment Holdings Limited</w:t>
            </w:r>
          </w:p>
        </w:tc>
        <w:tc>
          <w:tcPr>
            <w:tcW w:w="226" w:type="dxa"/>
            <w:tcBorders/>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408" w:type="dxa"/>
            <w:tcBorders/>
            <w:vAlign w:val="center"/>
          </w:tcPr>
          <w:p>
            <w:pPr>
              <w:pStyle w:val="TableContents"/>
              <w:pBdr/>
              <w:bidi w:val="0"/>
              <w:spacing w:before="0" w:after="0"/>
              <w:ind w:left="0" w:right="0" w:hanging="0"/>
              <w:jc w:val="both"/>
              <w:rPr/>
            </w:pPr>
            <w:hyperlink w:anchor="_UNAUDITED_INTERIM_CONDENSED">
              <w:r>
                <w:rPr>
                  <w:rStyle w:val="InternetLink"/>
                  <w:rFonts w:ascii="Times New Roman;Times;serif" w:hAnsi="Times New Roman;Times;serif"/>
                  <w:b w:val="false"/>
                  <w:i w:val="false"/>
                  <w:caps w:val="false"/>
                  <w:smallCaps w:val="false"/>
                  <w:sz w:val="20"/>
                </w:rPr>
                <w:t>Unaudited Interim Condensed Consolidated Balance Sheets as of December 31, 2025 and June 30, 2026</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08" w:type="dxa"/>
            <w:tcBorders/>
            <w:vAlign w:val="center"/>
          </w:tcPr>
          <w:p>
            <w:pPr>
              <w:pStyle w:val="TableContents"/>
              <w:pBdr/>
              <w:bidi w:val="0"/>
              <w:spacing w:before="0" w:after="0"/>
              <w:ind w:left="0" w:right="0" w:hanging="0"/>
              <w:jc w:val="both"/>
              <w:rPr/>
            </w:pPr>
            <w:hyperlink w:anchor="COMPREHENSIVEINCOME_321067">
              <w:r>
                <w:rPr>
                  <w:rStyle w:val="InternetLink"/>
                  <w:rFonts w:ascii="Times New Roman;Times;serif" w:hAnsi="Times New Roman;Times;serif"/>
                  <w:b w:val="false"/>
                  <w:i w:val="false"/>
                  <w:caps w:val="false"/>
                  <w:smallCaps w:val="false"/>
                  <w:sz w:val="20"/>
                </w:rPr>
                <w:t>Unaudited Interim Condensed Consolidated Statements of Operations and Comprehensive Loss/Income for the six months ended June 30, 2025 and 2026</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08" w:type="dxa"/>
            <w:tcBorders/>
            <w:vAlign w:val="center"/>
          </w:tcPr>
          <w:p>
            <w:pPr>
              <w:pStyle w:val="TableContents"/>
              <w:pBdr/>
              <w:bidi w:val="0"/>
              <w:spacing w:before="0" w:after="0"/>
              <w:ind w:left="0" w:right="0" w:hanging="0"/>
              <w:jc w:val="both"/>
              <w:rPr/>
            </w:pPr>
            <w:hyperlink w:anchor="EQUITY_25029">
              <w:r>
                <w:rPr>
                  <w:rStyle w:val="InternetLink"/>
                  <w:rFonts w:ascii="Times New Roman;Times;serif" w:hAnsi="Times New Roman;Times;serif"/>
                  <w:b w:val="false"/>
                  <w:i w:val="false"/>
                  <w:caps w:val="false"/>
                  <w:smallCaps w:val="false"/>
                  <w:sz w:val="20"/>
                </w:rPr>
                <w:t>Unaudited Interim Condensed Consolidated Statements of Changes in Shareholders’ equity for the six months ended June 30, 2025 and 2026</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08" w:type="dxa"/>
            <w:tcBorders/>
            <w:vAlign w:val="center"/>
          </w:tcPr>
          <w:p>
            <w:pPr>
              <w:pStyle w:val="TableContents"/>
              <w:pBdr/>
              <w:bidi w:val="0"/>
              <w:spacing w:before="0" w:after="0"/>
              <w:ind w:left="0" w:right="0" w:hanging="0"/>
              <w:jc w:val="both"/>
              <w:rPr/>
            </w:pPr>
            <w:hyperlink w:anchor="CASHFLOWS_580349">
              <w:r>
                <w:rPr>
                  <w:rStyle w:val="InternetLink"/>
                  <w:rFonts w:ascii="Times New Roman;Times;serif" w:hAnsi="Times New Roman;Times;serif"/>
                  <w:b w:val="false"/>
                  <w:i w:val="false"/>
                  <w:caps w:val="false"/>
                  <w:smallCaps w:val="false"/>
                  <w:sz w:val="20"/>
                </w:rPr>
                <w:t>Unaudited Interim Condensed Consolidated Statements of Cash Flows for the six months ended June 30, 2025 and 2026</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08" w:type="dxa"/>
            <w:tcBorders/>
            <w:vAlign w:val="center"/>
          </w:tcPr>
          <w:p>
            <w:pPr>
              <w:pStyle w:val="TableContents"/>
              <w:pBdr/>
              <w:bidi w:val="0"/>
              <w:spacing w:before="0" w:after="0"/>
              <w:ind w:left="0" w:right="0" w:hanging="0"/>
              <w:jc w:val="both"/>
              <w:rPr/>
            </w:pPr>
            <w:hyperlink w:anchor="NOTESTOCONSOLIDATEDFINANCIALSTATEMENTS_1">
              <w:r>
                <w:rPr>
                  <w:rStyle w:val="InternetLink"/>
                  <w:rFonts w:ascii="Times New Roman;Times;serif" w:hAnsi="Times New Roman;Times;serif"/>
                  <w:b w:val="false"/>
                  <w:i w:val="false"/>
                  <w:caps w:val="false"/>
                  <w:smallCaps w:val="false"/>
                  <w:sz w:val="20"/>
                </w:rPr>
                <w:t>Notes to the Unaudited Interim Condensed Consolidated Financial Statements</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240"/>
        <w:ind w:left="0" w:right="0" w:firstLine="36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11" w:name="_25de4c8a_2561_448a_b672_a4de8684a27d"/>
      <w:bookmarkEnd w:id="11"/>
      <w:r>
        <w:rPr>
          <w:rFonts w:ascii="Times New Roman;Times;serif" w:hAnsi="Times New Roman;Times;serif"/>
          <w:b/>
          <w:sz w:val="20"/>
        </w:rPr>
        <w:t xml:space="preserve">BAIRD MEDICAL INVESTMENT HOLDINGS LIMITED </w:t>
      </w:r>
    </w:p>
    <w:p>
      <w:pPr>
        <w:pStyle w:val="TextBody"/>
        <w:bidi w:val="0"/>
        <w:spacing w:before="0" w:after="240"/>
        <w:ind w:left="0" w:right="0" w:hanging="0"/>
        <w:jc w:val="center"/>
        <w:rPr>
          <w:rFonts w:ascii="Times New Roman;Times;serif" w:hAnsi="Times New Roman;Times;serif"/>
          <w:b/>
          <w:sz w:val="20"/>
        </w:rPr>
      </w:pPr>
      <w:bookmarkStart w:id="12" w:name="_UNAUDITED_INTERIM_CONDENSED"/>
      <w:bookmarkStart w:id="13" w:name="BALANCESHEETS_600139"/>
      <w:bookmarkEnd w:id="12"/>
      <w:bookmarkEnd w:id="13"/>
      <w:r>
        <w:rPr>
          <w:rFonts w:ascii="Times New Roman;Times;serif" w:hAnsi="Times New Roman;Times;serif"/>
          <w:b/>
          <w:sz w:val="20"/>
        </w:rPr>
        <w:t>UNAUDITED INTERIM CONDENSED CONSOLIDATED BALANCE SHEETS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(All amounts in U.S. dollars, except for share data, or otherwise noted)</w:t>
      </w:r>
    </w:p>
    <w:p>
      <w:pPr>
        <w:pStyle w:val="Normal"/>
        <w:bidi w:val="0"/>
        <w:spacing w:before="0" w:after="0"/>
        <w:jc w:val="left"/>
        <w:rPr>
          <w:sz w:val="4"/>
          <w:szCs w:val="4"/>
        </w:rPr>
      </w:pPr>
      <w:r>
        <w:rPr>
          <w:sz w:val="4"/>
          <w:szCs w:val="4"/>
        </w:rPr>
      </w:r>
      <w:bookmarkStart w:id="14" w:name="Tc_KxcKm4J0m0yXLl7U6HaxZQ_51_5"/>
      <w:bookmarkStart w:id="15" w:name="Tc__mkMFjF5p0qPntzj0PTOfw_51_2"/>
      <w:bookmarkStart w:id="16" w:name="Tc_hL63kemN00-44U7JueAMfg_51_0"/>
      <w:bookmarkStart w:id="17" w:name="Tc_3T5BLTRKc0WO_Y2pA_I28g_50_0"/>
      <w:bookmarkStart w:id="18" w:name="Tc_IBSWH_93gkOE6VWg9Hmt-Q_49_0"/>
      <w:bookmarkStart w:id="19" w:name="Tc_eXr-VlvENU6C_NqmWdKmWw_48_0"/>
      <w:bookmarkStart w:id="20" w:name="Tc_RjTgFKxQxkayP19-gtpzPw_47_0"/>
      <w:bookmarkStart w:id="21" w:name="Tc_mPfUSx-cNE2144p-KhI1lA_46_0"/>
      <w:bookmarkStart w:id="22" w:name="Tc__jhMvnWhrUWVoqmUC7rwhQ_45_0"/>
      <w:bookmarkStart w:id="23" w:name="Tc_8yp-VAd2_EiX6abez3nvHg_44_0"/>
      <w:bookmarkStart w:id="24" w:name="Tc_3jhL0XzZ4E-NQkQHIxQ6eg_43_0"/>
      <w:bookmarkStart w:id="25" w:name="Tc_o35mNbX96UukBIer5mbZlg_42_0"/>
      <w:bookmarkStart w:id="26" w:name="Tc_55j7_ia0_k6N73NzakbdBw_41_5"/>
      <w:bookmarkStart w:id="27" w:name="Tc_JVDKBjXLl02BA_RsuC7o-w_41_2"/>
      <w:bookmarkStart w:id="28" w:name="Tc_vXK0nx7wMkOEAzUxEzeHlA_41_0"/>
      <w:bookmarkStart w:id="29" w:name="Tc_-T4n-9kIy0ykDCg4RvxNPg_40_0"/>
      <w:bookmarkStart w:id="30" w:name="Tc_BBqP9kFZik-9B_CCZmw1IQ_39_0"/>
      <w:bookmarkStart w:id="31" w:name="Tc_GEdd4q1E_UCEO3cB8ahG3A_38_0"/>
      <w:bookmarkStart w:id="32" w:name="Tc_OwzDEgCeak6Tm3Ddd2KluA_37_0"/>
      <w:bookmarkStart w:id="33" w:name="Tc_zgIidSRk40eCOGxNiCkCIQ_36_0"/>
      <w:bookmarkStart w:id="34" w:name="Tc_rENDpUX3_0eG5HaojhintA_35_0"/>
      <w:bookmarkStart w:id="35" w:name="Tc_qSECY01DPkubNQto2qIUpQ_34_0"/>
      <w:bookmarkStart w:id="36" w:name="Tc_LzI78LsN9UCFVkNdyZZdOQ_33_0"/>
      <w:bookmarkStart w:id="37" w:name="Tc_ykaFVD-Xd0ia38e00mzsoA_32_0"/>
      <w:bookmarkStart w:id="38" w:name="Tc_AzwizONxd0ie0V77D_nqXg_30_0"/>
      <w:bookmarkStart w:id="39" w:name="Tc_LVAfnHzK8EaMhhUaEv2QgA_29_0"/>
      <w:bookmarkStart w:id="40" w:name="Tc_9qdMhoGCE0yUXxEfGT_njA_28_0"/>
      <w:bookmarkStart w:id="41" w:name="Tc_hcJ3MIvwAU6936xmhlFkuQ_27_0"/>
      <w:bookmarkStart w:id="42" w:name="Tc_9u3XDURMMUOlH8tvWBazhQ_26_0"/>
      <w:bookmarkStart w:id="43" w:name="Tc_dLcwBqjjFEKu4y0dXD8vyg_25_0"/>
      <w:bookmarkStart w:id="44" w:name="Tc_TGOHhb1BzUuK8fWb0v8P2g_24_0"/>
      <w:bookmarkStart w:id="45" w:name="Tc_wCzM43mYSUO75Mv5MA1VwA_23_5"/>
      <w:bookmarkStart w:id="46" w:name="Tc_eGPIt-7AAUW_Xt3ZqssiQw_23_2"/>
      <w:bookmarkStart w:id="47" w:name="Tc_FAFb8_ye9kCpHZmspSrMxQ_23_0"/>
      <w:bookmarkStart w:id="48" w:name="Tc_PKWtz9it8UWEk2_NkoUS4w_22_0"/>
      <w:bookmarkStart w:id="49" w:name="Tc_mSriGdttpUGdsEibOlyXwg_21_0"/>
      <w:bookmarkStart w:id="50" w:name="Tc_swF1PZighkqr72jKFQYA4Q_20_0"/>
      <w:bookmarkStart w:id="51" w:name="Tc_cKaSVMbdBkGSJEFTLDxPtA_19_3"/>
      <w:bookmarkStart w:id="52" w:name="Tc_6frGfdLqhEqYIO3kdCwj2w_19_0"/>
      <w:bookmarkStart w:id="53" w:name="Tc_8lxEBMs0R0-pPYm743vK-g_18_0"/>
      <w:bookmarkStart w:id="54" w:name="Tc_LE8k0yxgZkGeZYE4I1ribA_17_0"/>
      <w:bookmarkStart w:id="55" w:name="Tc_1MAx1m381UKtQxYQWd9XUw_16_0"/>
      <w:bookmarkStart w:id="56" w:name="Tc_I8vEKE0qy0GZAPwW5C7xVA_15_0"/>
      <w:bookmarkStart w:id="57" w:name="Tc_URYcxPswGkqC28x2iH37Lw_14_0"/>
      <w:bookmarkStart w:id="58" w:name="Tc_QQLrNZU18UCy-wKypmxa-A_13_0"/>
      <w:bookmarkStart w:id="59" w:name="Tc_KO-Eh-2kJ0WZGIbYQCfCHw_12_0"/>
      <w:bookmarkStart w:id="60" w:name="Tc_G34teYj_zUW4WXLH2kCSww_10_0"/>
      <w:bookmarkStart w:id="61" w:name="Tc_D4T3Rw5V40qCChRY0HYgcg_9_0"/>
      <w:bookmarkStart w:id="62" w:name="Tc_iVDl_hJbz0O33QCg3-pzAQ_8_0"/>
      <w:bookmarkStart w:id="63" w:name="Tc_zJLMSMgHAkqT8_CKDKYGDw_7_0"/>
      <w:bookmarkStart w:id="64" w:name="Tc_KyH3AkAVWUux2Z03bMzHtg_6_0"/>
      <w:bookmarkStart w:id="65" w:name="Tc_Woub2xSE-0yH2LHuFcGAdQ_5_5"/>
      <w:bookmarkStart w:id="66" w:name="Tc_0CxxL59x0ECVdTtQ2OrwCA_5_2"/>
      <w:bookmarkStart w:id="67" w:name="Tc_egEg2Si5R0WczUjz4IFJGw_5_0"/>
      <w:bookmarkStart w:id="68" w:name="Tc_bqmGsjhfyE-W1OUJWFGAag_4_0"/>
      <w:bookmarkStart w:id="69" w:name="Tc_NP_x61KCa0OafCG43KLAig_3_0"/>
      <w:bookmarkStart w:id="70" w:name="Tc_y6_Ag6edYkOtWJFv3w18uw_2_5"/>
      <w:bookmarkStart w:id="71" w:name="Tc_M-fKkYsYckqJJdkFR7pP1w_2_2"/>
      <w:bookmarkStart w:id="72" w:name="Tc_tzhRm2Esj0mDqNpQBhGacg_1_2"/>
      <w:bookmarkStart w:id="73" w:name="_3fa51970_e21b_429b_8b75_c651090709f6"/>
      <w:bookmarkStart w:id="74" w:name="Tc_KxcKm4J0m0yXLl7U6HaxZQ_51_5"/>
      <w:bookmarkStart w:id="75" w:name="Tc__mkMFjF5p0qPntzj0PTOfw_51_2"/>
      <w:bookmarkStart w:id="76" w:name="Tc_hL63kemN00-44U7JueAMfg_51_0"/>
      <w:bookmarkStart w:id="77" w:name="Tc_3T5BLTRKc0WO_Y2pA_I28g_50_0"/>
      <w:bookmarkStart w:id="78" w:name="Tc_IBSWH_93gkOE6VWg9Hmt-Q_49_0"/>
      <w:bookmarkStart w:id="79" w:name="Tc_eXr-VlvENU6C_NqmWdKmWw_48_0"/>
      <w:bookmarkStart w:id="80" w:name="Tc_RjTgFKxQxkayP19-gtpzPw_47_0"/>
      <w:bookmarkStart w:id="81" w:name="Tc_mPfUSx-cNE2144p-KhI1lA_46_0"/>
      <w:bookmarkStart w:id="82" w:name="Tc__jhMvnWhrUWVoqmUC7rwhQ_45_0"/>
      <w:bookmarkStart w:id="83" w:name="Tc_8yp-VAd2_EiX6abez3nvHg_44_0"/>
      <w:bookmarkStart w:id="84" w:name="Tc_3jhL0XzZ4E-NQkQHIxQ6eg_43_0"/>
      <w:bookmarkStart w:id="85" w:name="Tc_o35mNbX96UukBIer5mbZlg_42_0"/>
      <w:bookmarkStart w:id="86" w:name="Tc_55j7_ia0_k6N73NzakbdBw_41_5"/>
      <w:bookmarkStart w:id="87" w:name="Tc_JVDKBjXLl02BA_RsuC7o-w_41_2"/>
      <w:bookmarkStart w:id="88" w:name="Tc_vXK0nx7wMkOEAzUxEzeHlA_41_0"/>
      <w:bookmarkStart w:id="89" w:name="Tc_-T4n-9kIy0ykDCg4RvxNPg_40_0"/>
      <w:bookmarkStart w:id="90" w:name="Tc_BBqP9kFZik-9B_CCZmw1IQ_39_0"/>
      <w:bookmarkStart w:id="91" w:name="Tc_GEdd4q1E_UCEO3cB8ahG3A_38_0"/>
      <w:bookmarkStart w:id="92" w:name="Tc_OwzDEgCeak6Tm3Ddd2KluA_37_0"/>
      <w:bookmarkStart w:id="93" w:name="Tc_zgIidSRk40eCOGxNiCkCIQ_36_0"/>
      <w:bookmarkStart w:id="94" w:name="Tc_rENDpUX3_0eG5HaojhintA_35_0"/>
      <w:bookmarkStart w:id="95" w:name="Tc_qSECY01DPkubNQto2qIUpQ_34_0"/>
      <w:bookmarkStart w:id="96" w:name="Tc_LzI78LsN9UCFVkNdyZZdOQ_33_0"/>
      <w:bookmarkStart w:id="97" w:name="Tc_ykaFVD-Xd0ia38e00mzsoA_32_0"/>
      <w:bookmarkStart w:id="98" w:name="Tc_AzwizONxd0ie0V77D_nqXg_30_0"/>
      <w:bookmarkStart w:id="99" w:name="Tc_LVAfnHzK8EaMhhUaEv2QgA_29_0"/>
      <w:bookmarkStart w:id="100" w:name="Tc_9qdMhoGCE0yUXxEfGT_njA_28_0"/>
      <w:bookmarkStart w:id="101" w:name="Tc_hcJ3MIvwAU6936xmhlFkuQ_27_0"/>
      <w:bookmarkStart w:id="102" w:name="Tc_9u3XDURMMUOlH8tvWBazhQ_26_0"/>
      <w:bookmarkStart w:id="103" w:name="Tc_dLcwBqjjFEKu4y0dXD8vyg_25_0"/>
      <w:bookmarkStart w:id="104" w:name="Tc_TGOHhb1BzUuK8fWb0v8P2g_24_0"/>
      <w:bookmarkStart w:id="105" w:name="Tc_wCzM43mYSUO75Mv5MA1VwA_23_5"/>
      <w:bookmarkStart w:id="106" w:name="Tc_eGPIt-7AAUW_Xt3ZqssiQw_23_2"/>
      <w:bookmarkStart w:id="107" w:name="Tc_FAFb8_ye9kCpHZmspSrMxQ_23_0"/>
      <w:bookmarkStart w:id="108" w:name="Tc_PKWtz9it8UWEk2_NkoUS4w_22_0"/>
      <w:bookmarkStart w:id="109" w:name="Tc_mSriGdttpUGdsEibOlyXwg_21_0"/>
      <w:bookmarkStart w:id="110" w:name="Tc_swF1PZighkqr72jKFQYA4Q_20_0"/>
      <w:bookmarkStart w:id="111" w:name="Tc_cKaSVMbdBkGSJEFTLDxPtA_19_3"/>
      <w:bookmarkStart w:id="112" w:name="Tc_6frGfdLqhEqYIO3kdCwj2w_19_0"/>
      <w:bookmarkStart w:id="113" w:name="Tc_8lxEBMs0R0-pPYm743vK-g_18_0"/>
      <w:bookmarkStart w:id="114" w:name="Tc_LE8k0yxgZkGeZYE4I1ribA_17_0"/>
      <w:bookmarkStart w:id="115" w:name="Tc_1MAx1m381UKtQxYQWd9XUw_16_0"/>
      <w:bookmarkStart w:id="116" w:name="Tc_I8vEKE0qy0GZAPwW5C7xVA_15_0"/>
      <w:bookmarkStart w:id="117" w:name="Tc_URYcxPswGkqC28x2iH37Lw_14_0"/>
      <w:bookmarkStart w:id="118" w:name="Tc_QQLrNZU18UCy-wKypmxa-A_13_0"/>
      <w:bookmarkStart w:id="119" w:name="Tc_KO-Eh-2kJ0WZGIbYQCfCHw_12_0"/>
      <w:bookmarkStart w:id="120" w:name="Tc_G34teYj_zUW4WXLH2kCSww_10_0"/>
      <w:bookmarkStart w:id="121" w:name="Tc_D4T3Rw5V40qCChRY0HYgcg_9_0"/>
      <w:bookmarkStart w:id="122" w:name="Tc_iVDl_hJbz0O33QCg3-pzAQ_8_0"/>
      <w:bookmarkStart w:id="123" w:name="Tc_zJLMSMgHAkqT8_CKDKYGDw_7_0"/>
      <w:bookmarkStart w:id="124" w:name="Tc_KyH3AkAVWUux2Z03bMzHtg_6_0"/>
      <w:bookmarkStart w:id="125" w:name="Tc_Woub2xSE-0yH2LHuFcGAdQ_5_5"/>
      <w:bookmarkStart w:id="126" w:name="Tc_0CxxL59x0ECVdTtQ2OrwCA_5_2"/>
      <w:bookmarkStart w:id="127" w:name="Tc_egEg2Si5R0WczUjz4IFJGw_5_0"/>
      <w:bookmarkStart w:id="128" w:name="Tc_bqmGsjhfyE-W1OUJWFGAag_4_0"/>
      <w:bookmarkStart w:id="129" w:name="Tc_NP_x61KCa0OafCG43KLAig_3_0"/>
      <w:bookmarkStart w:id="130" w:name="Tc_y6_Ag6edYkOtWJFv3w18uw_2_5"/>
      <w:bookmarkStart w:id="131" w:name="Tc_M-fKkYsYckqJJdkFR7pP1w_2_2"/>
      <w:bookmarkStart w:id="132" w:name="Tc_tzhRm2Esj0mDqNpQBhGacg_1_2"/>
      <w:bookmarkStart w:id="133" w:name="_3fa51970_e21b_429b_8b75_c651090709f6"/>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W w:w="10205" w:type="dxa"/>
        <w:jc w:val="left"/>
        <w:tblInd w:w="0" w:type="dxa"/>
        <w:tblLayout w:type="fixed"/>
        <w:tblCellMar>
          <w:top w:w="0" w:type="dxa"/>
          <w:left w:w="0" w:type="dxa"/>
          <w:bottom w:w="0" w:type="dxa"/>
          <w:right w:w="0" w:type="dxa"/>
        </w:tblCellMar>
      </w:tblPr>
      <w:tblGrid>
        <w:gridCol w:w="6795"/>
        <w:gridCol w:w="346"/>
        <w:gridCol w:w="264"/>
        <w:gridCol w:w="1237"/>
        <w:gridCol w:w="346"/>
        <w:gridCol w:w="196"/>
        <w:gridCol w:w="1021"/>
      </w:tblGrid>
      <w:tr>
        <w:trPr/>
        <w:tc>
          <w:tcPr>
            <w:tcW w:w="6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314825" cy="175260"/>
                      <wp:effectExtent l="0" t="0" r="0" b="0"/>
                      <wp:wrapNone/>
                      <wp:docPr id="3" name="Frame3"/>
                      <a:graphic xmlns:a="http://schemas.openxmlformats.org/drawingml/2006/main">
                        <a:graphicData uri="http://schemas.microsoft.com/office/word/2010/wordprocessingShape">
                          <wps:wsp>
                            <wps:cNvSpPr txBox="1"/>
                            <wps:spPr>
                              <a:xfrm>
                                <a:off x="0" y="0"/>
                                <a:ext cx="431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7640" cy="175260"/>
                      <wp:effectExtent l="0" t="0" r="0" b="0"/>
                      <wp:wrapNone/>
                      <wp:docPr id="5" name="Frame5"/>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85495" cy="175260"/>
                      <wp:effectExtent l="0" t="0" r="0" b="0"/>
                      <wp:wrapNone/>
                      <wp:docPr id="6" name="Frame6"/>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335" cy="175260"/>
                      <wp:effectExtent l="0" t="0" r="0" b="0"/>
                      <wp:wrapNone/>
                      <wp:docPr id="9" name="Frame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64" w:type="dxa"/>
            <w:tcBorders/>
            <w:shd w:fill="CCEEFF" w:val="clear"/>
            <w:vAlign w:val="center"/>
          </w:tcPr>
          <w:p>
            <w:pPr>
              <w:pStyle w:val="TableContents"/>
              <w:bidi w:val="0"/>
              <w:spacing w:before="0" w:after="1"/>
              <w:ind w:left="0" w:right="0" w:hanging="0"/>
              <w:jc w:val="left"/>
              <w:rPr/>
            </w:pPr>
            <w:r>
              <w:rPr/>
              <w:t>​</w:t>
            </w:r>
          </w:p>
        </w:tc>
        <w:tc>
          <w:tcPr>
            <w:tcW w:w="123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  ​</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264" w:type="dxa"/>
            <w:tcBorders/>
            <w:vAlign w:val="center"/>
          </w:tcPr>
          <w:p>
            <w:pPr>
              <w:pStyle w:val="TableContents"/>
              <w:bidi w:val="0"/>
              <w:spacing w:before="0" w:after="1"/>
              <w:ind w:left="0" w:right="0" w:hanging="0"/>
              <w:jc w:val="left"/>
              <w:rPr/>
            </w:pPr>
            <w:r>
              <w:rPr/>
              <w:t>​</w:t>
            </w:r>
          </w:p>
        </w:tc>
        <w:tc>
          <w:tcPr>
            <w:tcW w:w="123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  ​</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138,551</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150,532</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net-current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42,528,919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30,681,684</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1,085,783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1,033,394</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10,545,465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12,821,095</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 net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240,547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258,643</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2,942</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54,969,518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45,086,841</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6,370,900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5,936,854</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4,446</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762,289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930,347</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234,882</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62,158</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net-non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12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13,688,592</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 non current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7,113,014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7,657,156</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 – non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248,627</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14,731,497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28,763,062</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69,701,015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73,849,903</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10,431,850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10,760,200</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payables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3,098,410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3,494,455</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Salaries and benefits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678,214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921,635</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liability</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793,412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2,443,962</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141,893</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1,805,042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1,341,382</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due to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4,888,289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3,540,857</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listing expenses payable</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5,163,238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5,152,682</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2,744,302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3,777,781</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loan –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2,637,036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3,320,980</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32,363,582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34,902,327</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lease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47,256</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loan – non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6,086,254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4,274,600</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6,113,891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4,321,856</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38,477,473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39,224,183</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  ​</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$0.0001 par value; 5,000,000 shares authorized; 290,000 shares issued and outstanding as of December 31, 2025 and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Ordinary shares, $0.0001 par value; 500,000,000 shares authorized; 40,979,382 shares issued,30,752,370 shares outstanding as of December 31, 2025; 42,208,763 shares issued, 32,002,370 shares outstanding as of June 30, 2026 </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3,200</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28,658,524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30,941,899</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Statutory reserve</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4,593,312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4,593,955</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(515,415)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(480,653)</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(1,371,894)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(277,656)</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Baird Medical Investment Holdings Limited’s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31,367,631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34,780,774</w:t>
            </w:r>
          </w:p>
        </w:tc>
      </w:tr>
      <w:tr>
        <w:trPr/>
        <w:tc>
          <w:tcPr>
            <w:tcW w:w="6795"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(155,054)</w:t>
            </w:r>
          </w:p>
        </w:tc>
      </w:tr>
      <w:tr>
        <w:trPr/>
        <w:tc>
          <w:tcPr>
            <w:tcW w:w="679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69,701,015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73,849,903</w:t>
            </w:r>
          </w:p>
        </w:tc>
      </w:tr>
    </w:tbl>
    <w:p>
      <w:pPr>
        <w:pStyle w:val="TextBody"/>
        <w:pBdr/>
        <w:bidi w:val="0"/>
        <w:spacing w:before="0" w:after="240"/>
        <w:ind w:left="0" w:right="0" w:hanging="360"/>
        <w:jc w:val="left"/>
        <w:rPr/>
      </w:pPr>
      <w:r>
        <w:rPr/>
        <w:t>​</w:t>
      </w:r>
    </w:p>
    <w:p>
      <w:pPr>
        <w:pStyle w:val="TextBody"/>
        <w:pBdr/>
        <w:bidi w:val="0"/>
        <w:spacing w:before="0" w:after="0"/>
        <w:ind w:left="0" w:right="0" w:hanging="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pBdr/>
        <w:bidi w:val="0"/>
        <w:spacing w:before="0" w:after="24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4" w:name="_fda63524_1beb_436e_a137_988ae8448115"/>
      <w:bookmarkEnd w:id="134"/>
      <w:r>
        <w:rPr>
          <w:rFonts w:ascii="Times New Roman;Times;serif" w:hAnsi="Times New Roman;Times;serif"/>
          <w:b/>
          <w:sz w:val="20"/>
        </w:rPr>
        <w:t>BAIRD MEDICAL INVESTMENT HOLDINGS LIMITED</w:t>
      </w:r>
    </w:p>
    <w:p>
      <w:pPr>
        <w:pStyle w:val="TextBody"/>
        <w:bidi w:val="0"/>
        <w:spacing w:before="0" w:after="240"/>
        <w:ind w:left="0" w:right="0" w:hanging="0"/>
        <w:jc w:val="center"/>
        <w:rPr>
          <w:rFonts w:ascii="Times New Roman;Times;serif" w:hAnsi="Times New Roman;Times;serif"/>
          <w:b/>
          <w:sz w:val="20"/>
        </w:rPr>
      </w:pPr>
      <w:bookmarkStart w:id="135" w:name="COMPREHENSIVEINCOME_321067"/>
      <w:bookmarkEnd w:id="135"/>
      <w:r>
        <w:rPr>
          <w:rFonts w:ascii="Times New Roman;Times;serif" w:hAnsi="Times New Roman;Times;serif"/>
          <w:b/>
          <w:sz w:val="20"/>
        </w:rPr>
        <w:t xml:space="preserve">UNAUDITED INTERIM CONDENSED CONSOLIDATED STATEMENTS OF OPERATIONS AND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COMPREHENSIVE LOSS/INCOME</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(All amounts in U.S. dollars, except for share and per share data, or otherwise noted)</w:t>
      </w:r>
    </w:p>
    <w:p>
      <w:pPr>
        <w:pStyle w:val="Normal"/>
        <w:bidi w:val="0"/>
        <w:spacing w:before="0" w:after="0"/>
        <w:jc w:val="left"/>
        <w:rPr>
          <w:sz w:val="4"/>
          <w:szCs w:val="4"/>
        </w:rPr>
      </w:pPr>
      <w:r>
        <w:rPr>
          <w:sz w:val="4"/>
          <w:szCs w:val="4"/>
        </w:rPr>
      </w:r>
      <w:bookmarkStart w:id="136" w:name="Tc_L_gS3hPy-Eij0v-Zd8bBgQ_31_5"/>
      <w:bookmarkStart w:id="137" w:name="Tc_PRQo4d4CC0-Kl8ex-0mp8A_31_2"/>
      <w:bookmarkStart w:id="138" w:name="Tc_xmo4yT3gnEuulpl3cl79bg_31_0"/>
      <w:bookmarkStart w:id="139" w:name="Tc_L77qxsT6eU2D_eSCzdb2GQ_30_0"/>
      <w:bookmarkStart w:id="140" w:name="Tc_hV1Szt8W6E-HcmeZUp6-6A_29_0"/>
      <w:bookmarkStart w:id="141" w:name="Tc_feImmbkTq0yw0wO32VW6AA_28_0"/>
      <w:bookmarkStart w:id="142" w:name="Tc_2e1Ngci-bEq9rk6tqacHWw_27_5"/>
      <w:bookmarkStart w:id="143" w:name="Tc_3DaJ382FkUCLLiCO14XbNA_27_2"/>
      <w:bookmarkStart w:id="144" w:name="Tc_W2UUvgRypkWwnwsKx4MBtw_27_0"/>
      <w:bookmarkStart w:id="145" w:name="Tc_U3o-EJo8jU2lVqsF6qX0zw_26_5"/>
      <w:bookmarkStart w:id="146" w:name="Tc_sfCAqSTiRkqocqtJWhB8cw_26_2"/>
      <w:bookmarkStart w:id="147" w:name="Tc_GJTY9bW-I0KCta7QP8OJ6w_26_0"/>
      <w:bookmarkStart w:id="148" w:name="Tc_upxTKaMAFkqnywj8Q2u4mA_25_5"/>
      <w:bookmarkStart w:id="149" w:name="Tc_kUIwTGspz0aYpOKnx-Ustw_25_2"/>
      <w:bookmarkStart w:id="150" w:name="Tc_u16uElg54EWnM4HtzYnejQ_25_0"/>
      <w:bookmarkStart w:id="151" w:name="Tc_8ThqxTV0YkOUQJzKYbtmkA_24_0"/>
      <w:bookmarkStart w:id="152" w:name="Tc_V91PzioZeUCCeR1bSo0H8A_23_0"/>
      <w:bookmarkStart w:id="153" w:name="Tc_-N2Zm3LVQkSg2DX1AfEsNw_22_0"/>
      <w:bookmarkStart w:id="154" w:name="Tc_AtEYA1nuSEaxb_Fq7Ftfew_21_0"/>
      <w:bookmarkStart w:id="155" w:name="Tc_8mzb3H6Z50-aHLFduckygw_20_0"/>
      <w:bookmarkStart w:id="156" w:name="Tc_Sl7mFxBjGkO4Vg6-47em3A_19_0"/>
      <w:bookmarkStart w:id="157" w:name="Tc_ckVh6fzgZESx52gppJiIMQ_18_0"/>
      <w:bookmarkStart w:id="158" w:name="Tc_ZcrtZGvR1UG6mfgU7Sh7FA_17_0"/>
      <w:bookmarkStart w:id="159" w:name="Tc_NAHHW5qdAEe4nw2wV2l5YA_16_0"/>
      <w:bookmarkStart w:id="160" w:name="Tc_W5JhFTi63USACr8FweZsuw_15_0"/>
      <w:bookmarkStart w:id="161" w:name="Tc_4sMn7GybEEiYk76LVP56wA_14_0"/>
      <w:bookmarkStart w:id="162" w:name="Tc_bwsqeAYmDUCabzYAtafbuA_13_0"/>
      <w:bookmarkStart w:id="163" w:name="Tc_CK4veuAdbEimmfo1ioz5aQ_12_0"/>
      <w:bookmarkStart w:id="164" w:name="Tc__PEtL8caLUWXger0d3rMLA_11_0"/>
      <w:bookmarkStart w:id="165" w:name="Tc_u_wJKNnAW028E927Gj-7TQ_10_0"/>
      <w:bookmarkStart w:id="166" w:name="Tc_Nche_i5pt0y13mVzP0pYGw_9_0"/>
      <w:bookmarkStart w:id="167" w:name="Tc_saHit_Lb_06yBeKc70lP0Q_8_0"/>
      <w:bookmarkStart w:id="168" w:name="Tc_rQ1qpUpExkWCIilTHtOgYA_7_0"/>
      <w:bookmarkStart w:id="169" w:name="Tc_kzeOKYTVaESJmu3EfEVMJQ_6_0"/>
      <w:bookmarkStart w:id="170" w:name="Tc_5EtAeZl9LkS-I0JSJ_DwsQ_5_0"/>
      <w:bookmarkStart w:id="171" w:name="Tc_Yh-nP193bk6FjELEaSsjQQ_4_0"/>
      <w:bookmarkStart w:id="172" w:name="Tc_kafp6wtdwUqwOg4tU1g2Wg_3_5"/>
      <w:bookmarkStart w:id="173" w:name="Tc_1qoZaTr7v0iNYSGXVqGAtQ_3_2"/>
      <w:bookmarkStart w:id="174" w:name="Tc_dHoT9Wrfc0KdZDQ_c0twiQ_3_0"/>
      <w:bookmarkStart w:id="175" w:name="Tc_9lxL1TB9L0agbFjsBIBblw_2_5"/>
      <w:bookmarkStart w:id="176" w:name="Tc_tGiQ4oLjpkmtgiku3TxPZw_2_2"/>
      <w:bookmarkStart w:id="177" w:name="Tc_WH4mPCDJQEq3Xs9jEu9vkA_1_2"/>
      <w:bookmarkStart w:id="178" w:name="_92938c5a_5a18_4dbe_aa46_e011a414ebd3"/>
      <w:bookmarkStart w:id="179" w:name="Tc_L_gS3hPy-Eij0v-Zd8bBgQ_31_5"/>
      <w:bookmarkStart w:id="180" w:name="Tc_PRQo4d4CC0-Kl8ex-0mp8A_31_2"/>
      <w:bookmarkStart w:id="181" w:name="Tc_xmo4yT3gnEuulpl3cl79bg_31_0"/>
      <w:bookmarkStart w:id="182" w:name="Tc_L77qxsT6eU2D_eSCzdb2GQ_30_0"/>
      <w:bookmarkStart w:id="183" w:name="Tc_hV1Szt8W6E-HcmeZUp6-6A_29_0"/>
      <w:bookmarkStart w:id="184" w:name="Tc_feImmbkTq0yw0wO32VW6AA_28_0"/>
      <w:bookmarkStart w:id="185" w:name="Tc_2e1Ngci-bEq9rk6tqacHWw_27_5"/>
      <w:bookmarkStart w:id="186" w:name="Tc_3DaJ382FkUCLLiCO14XbNA_27_2"/>
      <w:bookmarkStart w:id="187" w:name="Tc_W2UUvgRypkWwnwsKx4MBtw_27_0"/>
      <w:bookmarkStart w:id="188" w:name="Tc_U3o-EJo8jU2lVqsF6qX0zw_26_5"/>
      <w:bookmarkStart w:id="189" w:name="Tc_sfCAqSTiRkqocqtJWhB8cw_26_2"/>
      <w:bookmarkStart w:id="190" w:name="Tc_GJTY9bW-I0KCta7QP8OJ6w_26_0"/>
      <w:bookmarkStart w:id="191" w:name="Tc_upxTKaMAFkqnywj8Q2u4mA_25_5"/>
      <w:bookmarkStart w:id="192" w:name="Tc_kUIwTGspz0aYpOKnx-Ustw_25_2"/>
      <w:bookmarkStart w:id="193" w:name="Tc_u16uElg54EWnM4HtzYnejQ_25_0"/>
      <w:bookmarkStart w:id="194" w:name="Tc_8ThqxTV0YkOUQJzKYbtmkA_24_0"/>
      <w:bookmarkStart w:id="195" w:name="Tc_V91PzioZeUCCeR1bSo0H8A_23_0"/>
      <w:bookmarkStart w:id="196" w:name="Tc_-N2Zm3LVQkSg2DX1AfEsNw_22_0"/>
      <w:bookmarkStart w:id="197" w:name="Tc_AtEYA1nuSEaxb_Fq7Ftfew_21_0"/>
      <w:bookmarkStart w:id="198" w:name="Tc_8mzb3H6Z50-aHLFduckygw_20_0"/>
      <w:bookmarkStart w:id="199" w:name="Tc_Sl7mFxBjGkO4Vg6-47em3A_19_0"/>
      <w:bookmarkStart w:id="200" w:name="Tc_ckVh6fzgZESx52gppJiIMQ_18_0"/>
      <w:bookmarkStart w:id="201" w:name="Tc_ZcrtZGvR1UG6mfgU7Sh7FA_17_0"/>
      <w:bookmarkStart w:id="202" w:name="Tc_NAHHW5qdAEe4nw2wV2l5YA_16_0"/>
      <w:bookmarkStart w:id="203" w:name="Tc_W5JhFTi63USACr8FweZsuw_15_0"/>
      <w:bookmarkStart w:id="204" w:name="Tc_4sMn7GybEEiYk76LVP56wA_14_0"/>
      <w:bookmarkStart w:id="205" w:name="Tc_bwsqeAYmDUCabzYAtafbuA_13_0"/>
      <w:bookmarkStart w:id="206" w:name="Tc_CK4veuAdbEimmfo1ioz5aQ_12_0"/>
      <w:bookmarkStart w:id="207" w:name="Tc__PEtL8caLUWXger0d3rMLA_11_0"/>
      <w:bookmarkStart w:id="208" w:name="Tc_u_wJKNnAW028E927Gj-7TQ_10_0"/>
      <w:bookmarkStart w:id="209" w:name="Tc_Nche_i5pt0y13mVzP0pYGw_9_0"/>
      <w:bookmarkStart w:id="210" w:name="Tc_saHit_Lb_06yBeKc70lP0Q_8_0"/>
      <w:bookmarkStart w:id="211" w:name="Tc_rQ1qpUpExkWCIilTHtOgYA_7_0"/>
      <w:bookmarkStart w:id="212" w:name="Tc_kzeOKYTVaESJmu3EfEVMJQ_6_0"/>
      <w:bookmarkStart w:id="213" w:name="Tc_5EtAeZl9LkS-I0JSJ_DwsQ_5_0"/>
      <w:bookmarkStart w:id="214" w:name="Tc_Yh-nP193bk6FjELEaSsjQQ_4_0"/>
      <w:bookmarkStart w:id="215" w:name="Tc_kafp6wtdwUqwOg4tU1g2Wg_3_5"/>
      <w:bookmarkStart w:id="216" w:name="Tc_1qoZaTr7v0iNYSGXVqGAtQ_3_2"/>
      <w:bookmarkStart w:id="217" w:name="Tc_dHoT9Wrfc0KdZDQ_c0twiQ_3_0"/>
      <w:bookmarkStart w:id="218" w:name="Tc_9lxL1TB9L0agbFjsBIBblw_2_5"/>
      <w:bookmarkStart w:id="219" w:name="Tc_tGiQ4oLjpkmtgiku3TxPZw_2_2"/>
      <w:bookmarkStart w:id="220" w:name="Tc_WH4mPCDJQEq3Xs9jEu9vkA_1_2"/>
      <w:bookmarkStart w:id="221" w:name="_92938c5a_5a18_4dbe_aa46_e011a414ebd3"/>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tbl>
      <w:tblPr>
        <w:tblW w:w="10205" w:type="dxa"/>
        <w:jc w:val="left"/>
        <w:tblInd w:w="0" w:type="dxa"/>
        <w:tblLayout w:type="fixed"/>
        <w:tblCellMar>
          <w:top w:w="0" w:type="dxa"/>
          <w:left w:w="0" w:type="dxa"/>
          <w:bottom w:w="0" w:type="dxa"/>
          <w:right w:w="0" w:type="dxa"/>
        </w:tblCellMar>
      </w:tblPr>
      <w:tblGrid>
        <w:gridCol w:w="6857"/>
        <w:gridCol w:w="346"/>
        <w:gridCol w:w="211"/>
        <w:gridCol w:w="1141"/>
        <w:gridCol w:w="346"/>
        <w:gridCol w:w="211"/>
        <w:gridCol w:w="1093"/>
      </w:tblGrid>
      <w:tr>
        <w:trPr/>
        <w:tc>
          <w:tcPr>
            <w:tcW w:w="6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354195" cy="175260"/>
                      <wp:effectExtent l="0" t="0" r="0" b="0"/>
                      <wp:wrapNone/>
                      <wp:docPr id="10" name="Frame10"/>
                      <a:graphic xmlns:a="http://schemas.openxmlformats.org/drawingml/2006/main">
                        <a:graphicData uri="http://schemas.microsoft.com/office/word/2010/wordprocessingShape">
                          <wps:wsp>
                            <wps:cNvSpPr txBox="1"/>
                            <wps:spPr>
                              <a:xfrm>
                                <a:off x="0" y="0"/>
                                <a:ext cx="435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24535" cy="175260"/>
                      <wp:effectExtent l="0" t="0" r="0" b="0"/>
                      <wp:wrapNone/>
                      <wp:docPr id="13" name="Frame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4055" cy="175260"/>
                      <wp:effectExtent l="0" t="0" r="0" b="0"/>
                      <wp:wrapNone/>
                      <wp:docPr id="16" name="Frame16"/>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68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7,959,494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9,915,407</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(1,424,240)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(1,291,612)</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6,535,254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8,623,795</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(2,984,101)</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(8,677,640)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(3,400,975)</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(7,180,293)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(1,391,913)</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(16,985,658)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(7,776,989)</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(10,450,404)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846,806</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(358,215)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(334,689)</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23,417</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29,771</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(Loss)/income before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(10,799,996)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574,246</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(560,747)</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(11,359,127)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13,499</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(21,906)</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income attributable to Baird Medical Investment Holdings Limited’s shareholders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(11,293,895)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35,405</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893,939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1,105,179</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(10,465,188)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1,118,678</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(10,965)</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income attributable to Baird Medical Investment Holdings Limited’s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(10,399,956)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1,129,643</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(0.002)</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(0.002)</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26,402,382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31,330,271</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26,402,382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31,330,271</w:t>
            </w:r>
          </w:p>
        </w:tc>
      </w:tr>
      <w:tr>
        <w:trPr/>
        <w:tc>
          <w:tcPr>
            <w:tcW w:w="685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expenses included 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2,385,000</w:t>
            </w:r>
          </w:p>
        </w:tc>
      </w:tr>
    </w:tbl>
    <w:p>
      <w:pPr>
        <w:pStyle w:val="TextBody"/>
        <w:bidi w:val="0"/>
        <w:spacing w:before="0" w:after="0"/>
        <w:ind w:left="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2" w:name="_1111d23c_e1a7_47f5_b5e5_d18a13e2cc36"/>
      <w:bookmarkEnd w:id="222"/>
      <w:r>
        <w:rPr>
          <w:rFonts w:ascii="Times New Roman;Times;serif" w:hAnsi="Times New Roman;Times;serif"/>
          <w:b/>
          <w:sz w:val="20"/>
        </w:rPr>
        <w:t>BAIRD MEDICAL INVESTMENT HOLDINGS LIMITED</w:t>
      </w:r>
    </w:p>
    <w:p>
      <w:pPr>
        <w:pStyle w:val="TextBody"/>
        <w:bidi w:val="0"/>
        <w:spacing w:before="0" w:after="240"/>
        <w:ind w:left="0" w:right="0" w:hanging="0"/>
        <w:jc w:val="center"/>
        <w:rPr>
          <w:rFonts w:ascii="Times New Roman;Times;serif" w:hAnsi="Times New Roman;Times;serif"/>
          <w:b/>
          <w:sz w:val="20"/>
        </w:rPr>
      </w:pPr>
      <w:bookmarkStart w:id="223" w:name="EQUITY_25029"/>
      <w:bookmarkEnd w:id="223"/>
      <w:r>
        <w:rPr>
          <w:rFonts w:ascii="Times New Roman;Times;serif" w:hAnsi="Times New Roman;Times;serif"/>
          <w:b/>
          <w:sz w:val="20"/>
        </w:rPr>
        <w:t>UNAUDITED INTERIM CONDENSED CONSOLIDATED STATEMENTS OF CHANGES IN SHAREHOLDERS’ EQUITY</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Normal"/>
        <w:bidi w:val="0"/>
        <w:spacing w:before="0" w:after="0"/>
        <w:jc w:val="left"/>
        <w:rPr>
          <w:sz w:val="4"/>
          <w:szCs w:val="4"/>
        </w:rPr>
      </w:pPr>
      <w:r>
        <w:rPr>
          <w:sz w:val="4"/>
          <w:szCs w:val="4"/>
        </w:rPr>
      </w:r>
      <w:bookmarkStart w:id="224" w:name="Tc_bZcKIFmC_0WwgPjT-0uukw_11_30"/>
      <w:bookmarkStart w:id="225" w:name="Tc_3JaI377oCUihvl_xSpDgEw_11_27"/>
      <w:bookmarkStart w:id="226" w:name="Tc_X6WTxS8ICk65E-quHENHfQ_11_24"/>
      <w:bookmarkStart w:id="227" w:name="Tc_usRgm5T47EGoCwy9hx5-Og_11_21"/>
      <w:bookmarkStart w:id="228" w:name="Tc_Wwn8KL6K-kulirQRuvzmpw_11_18"/>
      <w:bookmarkStart w:id="229" w:name="Tc_EOm5wr2X7EaV-PKuJe6CoA_11_15"/>
      <w:bookmarkStart w:id="230" w:name="Tc_fJ6wRidoUkSMgpd68h0bOQ_11_12"/>
      <w:bookmarkStart w:id="231" w:name="Tc_wIKyu1SndEmy6vFt9xg_Pg_11_9"/>
      <w:bookmarkStart w:id="232" w:name="Tc_UUKsNOX7ekaczvnI7n1M-w_11_4"/>
      <w:bookmarkStart w:id="233" w:name="Tc_yh3SE-lBzUyDl_WXgfh2ZA_11_0"/>
      <w:bookmarkStart w:id="234" w:name="Tc_dS-t7_5aPEqXyrv18Zivhw_10_28"/>
      <w:bookmarkStart w:id="235" w:name="Tc_kCqx6phjj02_HABKxTLe9g_10_19"/>
      <w:bookmarkStart w:id="236" w:name="Tc_R4NEQ9F3q0-YROARikEINw_10_16"/>
      <w:bookmarkStart w:id="237" w:name="Tc_QB0gwGL4CEyypq5u_xhJvg_10_13"/>
      <w:bookmarkStart w:id="238" w:name="Tc_RRIgftJXGEqhAfZwM4vD1w_10_10"/>
      <w:bookmarkStart w:id="239" w:name="Tc_zIp05tj6r0GQf8pRM0Zb-Q_10_7"/>
      <w:bookmarkStart w:id="240" w:name="Tc_N8JERWlgwU-OuwaKIJpIYg_10_5"/>
      <w:bookmarkStart w:id="241" w:name="Tc_rVhf4oY0V06T-uFbnnJtBA_10_2"/>
      <w:bookmarkStart w:id="242" w:name="Tc_t5I3nV8z4EWrOrKGmen3HQ_10_0"/>
      <w:bookmarkStart w:id="243" w:name="Tc_lfhUVNPDKU27sPS2ddTsOg_9_31"/>
      <w:bookmarkStart w:id="244" w:name="Tc_5ycMcEtRY02grJAP5PLPuQ_9_28"/>
      <w:bookmarkStart w:id="245" w:name="Tc_GJcOuxB-p0mew5Q6QMwTnQ_9_25"/>
      <w:bookmarkStart w:id="246" w:name="Tc_WY7exDGUwk6e6sEXTIrVrQ_9_22"/>
      <w:bookmarkStart w:id="247" w:name="Tc_VrN4zMuSNU2k8HAcxhtXog_9_13"/>
      <w:bookmarkStart w:id="248" w:name="Tc_NsK5sQwrvEqVnWusObtC1w_9_10"/>
      <w:bookmarkStart w:id="249" w:name="Tc_T7fkjwi-l0eEBAoCEN7nuw_9_7"/>
      <w:bookmarkStart w:id="250" w:name="Tc_zE_-NCwH4UycfH0E1Vulrw_9_5"/>
      <w:bookmarkStart w:id="251" w:name="Tc_a76xr2rNiUmsE8IN8QIJHw_9_2"/>
      <w:bookmarkStart w:id="252" w:name="Tc_YG879tm1Fkm67zNq8BKCfw_9_0"/>
      <w:bookmarkStart w:id="253" w:name="Tc_2zSGEx4IR06BcY0ixMVeag_8_28"/>
      <w:bookmarkStart w:id="254" w:name="Tc_yTDWCp0xsUqRpJYyqmEecA_8_22"/>
      <w:bookmarkStart w:id="255" w:name="Tc_VJXofS5vBUiduclYv6iLRA_8_19"/>
      <w:bookmarkStart w:id="256" w:name="Tc_Ks6AH5d5HkWxLIt2VJdzBA_8_16"/>
      <w:bookmarkStart w:id="257" w:name="Tc_mEclH0eDzUC_h1MjC6qrCA_8_5"/>
      <w:bookmarkStart w:id="258" w:name="Tc_f5ZFFxzXwkG9hBkf_f0Rnw_8_2"/>
      <w:bookmarkStart w:id="259" w:name="Tc_ydSN9Vbc20ORHU6cLff0bg_8_0"/>
      <w:bookmarkStart w:id="260" w:name="Tc_U_obamm4B0CPylV1imdN-A_7_28"/>
      <w:bookmarkStart w:id="261" w:name="Tc_2CHIY52Ce0e0entZGLVasA_7_22"/>
      <w:bookmarkStart w:id="262" w:name="Tc_OtZflndm9kaGzhS7mxpRZA_7_19"/>
      <w:bookmarkStart w:id="263" w:name="Tc_7Yc-r9VvzkmY65a_8DSVkg_7_16"/>
      <w:bookmarkStart w:id="264" w:name="Tc_kRsInMZrN0-AugZau34ckg_7_5"/>
      <w:bookmarkStart w:id="265" w:name="Tc_M8VkywUeJ0WH17zDLL96jw_7_2"/>
      <w:bookmarkStart w:id="266" w:name="Tc_n3DCLX2bTEOyG9onxRqKVQ_7_0"/>
      <w:bookmarkStart w:id="267" w:name="Tc_t1tsf5IC_kmcbZP2pfVcJg_6_22"/>
      <w:bookmarkStart w:id="268" w:name="Tc_Me5W-HEme0ijveV5yvKlEQ_6_16"/>
      <w:bookmarkStart w:id="269" w:name="Tc_ls7IaGHf60mZO1giRBZhqg_6_13"/>
      <w:bookmarkStart w:id="270" w:name="Tc_1bvKu95HVkGmjKrOBtZguA_6_10"/>
      <w:bookmarkStart w:id="271" w:name="Tc_WIPPLLUCbkOgr2_SEBad7g_6_7"/>
      <w:bookmarkStart w:id="272" w:name="Tc_3d_n6ekFNEiJbpWEF0HxlQ_6_5"/>
      <w:bookmarkStart w:id="273" w:name="Tc_W9llCmskjUqKTFFBQQc6BA_6_2"/>
      <w:bookmarkStart w:id="274" w:name="Tc_ppJEouRCPU-xiVv2xkP6Mg_6_0"/>
      <w:bookmarkStart w:id="275" w:name="Tc_hQeXEuvqrkOL55EU8wwQdg_5_30"/>
      <w:bookmarkStart w:id="276" w:name="Tc_pe0KzbHdFkmEaL9y9sQOXg_5_27"/>
      <w:bookmarkStart w:id="277" w:name="Tc_Qq9hNGKauEqHtEPrmA4peQ_5_24"/>
      <w:bookmarkStart w:id="278" w:name="Tc_u4zjPXn_y0itpq9D4q4pZg_5_21"/>
      <w:bookmarkStart w:id="279" w:name="Tc_R4WFxIfUrEGTJwwgeU4Y0A_5_18"/>
      <w:bookmarkStart w:id="280" w:name="Tc_VJZRD3HAf0KgJFEQ1VgrBQ_5_15"/>
      <w:bookmarkStart w:id="281" w:name="Tc_wcGu9c4AI0e4gCKPvfiGJQ_5_12"/>
      <w:bookmarkStart w:id="282" w:name="Tc_7v1N6kesNEm9KBTFKs4muA_5_9"/>
      <w:bookmarkStart w:id="283" w:name="Tc_Tgi3rqK9mEWBu5fIOpG0Mw_5_4"/>
      <w:bookmarkStart w:id="284" w:name="Tc_egPAEqiwLEK0xYJ9zszD-Q_5_0"/>
      <w:bookmarkStart w:id="285" w:name="Tc_cOb7R5MjIkOcPdPSGvyF-w_4_30"/>
      <w:bookmarkStart w:id="286" w:name="Tc_guqwPyUVvkq9zB4Gwp0q3g_4_27"/>
      <w:bookmarkStart w:id="287" w:name="Tc_FgYTGSXtrEGxtN02zneV1Q_4_24"/>
      <w:bookmarkStart w:id="288" w:name="Tc_M6ZpHPdFqUWRi3YxLfmoSg_4_21"/>
      <w:bookmarkStart w:id="289" w:name="Tc_4mXsPLcVnkmVeit-cF0R2g_4_18"/>
      <w:bookmarkStart w:id="290" w:name="Tc_RRJ52MrYmUiHTCZbH4VWuA_4_15"/>
      <w:bookmarkStart w:id="291" w:name="Tc_0Imir8wFzEWuQnFIGylBHA_4_12"/>
      <w:bookmarkStart w:id="292" w:name="Tc_VPXQ2Twb_0Gxun2tqgZaUA_4_9"/>
      <w:bookmarkStart w:id="293" w:name="Tc_4aSKquYFtkCJjaj67zPbcw_4_7"/>
      <w:bookmarkStart w:id="294" w:name="Tc_6TPufKgwJkGBnr4J9NpWhA_4_4"/>
      <w:bookmarkStart w:id="295" w:name="Tc_m_OLEvVIrUC6f-jRDXFw1A_4_2"/>
      <w:bookmarkStart w:id="296" w:name="Tc_-5eXqnvAtEa-eipJKIX5AQ_3_27"/>
      <w:bookmarkStart w:id="297" w:name="Tc_S8Ds2IH2_kSFkBVLBQN8Og_3_24"/>
      <w:bookmarkStart w:id="298" w:name="Tc_NXUuvjMew0ebpnl_6LSb0A_3_21"/>
      <w:bookmarkStart w:id="299" w:name="Tc_9qi2QYiYgkC9Fk1cZbC6hg_3_18"/>
      <w:bookmarkStart w:id="300" w:name="Tc_taK2oAZ0cEWFPA6wXFt0Ig_3_15"/>
      <w:bookmarkStart w:id="301" w:name="Tc_aWXfNYAstE2kazS9BayK7A_3_12"/>
      <w:bookmarkStart w:id="302" w:name="Tc_OyPL5x2Z3EGtzVXoU3MKzQ_3_7"/>
      <w:bookmarkStart w:id="303" w:name="Tc_RPmT__Bb5UKBIp67GpAkSA_3_2"/>
      <w:bookmarkStart w:id="304" w:name="Tc_LpMNTANKbEizuUTenB8Eqw_2_27"/>
      <w:bookmarkStart w:id="305" w:name="Tc_U16XV5v0fEuFRPjWogD8nQ_2_24"/>
      <w:bookmarkStart w:id="306" w:name="Tc_fwwLvqyVOEKiu7pdZNvwvg_2_21"/>
      <w:bookmarkStart w:id="307" w:name="Tc_h6OELU3WsEWQWcB4zPnxXQ_2_12"/>
      <w:bookmarkStart w:id="308" w:name="Tc_hZkEBpl92UOeutyJDr87Sw_1_21"/>
      <w:bookmarkStart w:id="309" w:name="_e100c5de_5717_4182_b56b_0e511eacf914"/>
      <w:bookmarkStart w:id="310" w:name="Tc_bZcKIFmC_0WwgPjT-0uukw_11_30"/>
      <w:bookmarkStart w:id="311" w:name="Tc_3JaI377oCUihvl_xSpDgEw_11_27"/>
      <w:bookmarkStart w:id="312" w:name="Tc_X6WTxS8ICk65E-quHENHfQ_11_24"/>
      <w:bookmarkStart w:id="313" w:name="Tc_usRgm5T47EGoCwy9hx5-Og_11_21"/>
      <w:bookmarkStart w:id="314" w:name="Tc_Wwn8KL6K-kulirQRuvzmpw_11_18"/>
      <w:bookmarkStart w:id="315" w:name="Tc_EOm5wr2X7EaV-PKuJe6CoA_11_15"/>
      <w:bookmarkStart w:id="316" w:name="Tc_fJ6wRidoUkSMgpd68h0bOQ_11_12"/>
      <w:bookmarkStart w:id="317" w:name="Tc_wIKyu1SndEmy6vFt9xg_Pg_11_9"/>
      <w:bookmarkStart w:id="318" w:name="Tc_UUKsNOX7ekaczvnI7n1M-w_11_4"/>
      <w:bookmarkStart w:id="319" w:name="Tc_yh3SE-lBzUyDl_WXgfh2ZA_11_0"/>
      <w:bookmarkStart w:id="320" w:name="Tc_dS-t7_5aPEqXyrv18Zivhw_10_28"/>
      <w:bookmarkStart w:id="321" w:name="Tc_kCqx6phjj02_HABKxTLe9g_10_19"/>
      <w:bookmarkStart w:id="322" w:name="Tc_R4NEQ9F3q0-YROARikEINw_10_16"/>
      <w:bookmarkStart w:id="323" w:name="Tc_QB0gwGL4CEyypq5u_xhJvg_10_13"/>
      <w:bookmarkStart w:id="324" w:name="Tc_RRIgftJXGEqhAfZwM4vD1w_10_10"/>
      <w:bookmarkStart w:id="325" w:name="Tc_zIp05tj6r0GQf8pRM0Zb-Q_10_7"/>
      <w:bookmarkStart w:id="326" w:name="Tc_N8JERWlgwU-OuwaKIJpIYg_10_5"/>
      <w:bookmarkStart w:id="327" w:name="Tc_rVhf4oY0V06T-uFbnnJtBA_10_2"/>
      <w:bookmarkStart w:id="328" w:name="Tc_t5I3nV8z4EWrOrKGmen3HQ_10_0"/>
      <w:bookmarkStart w:id="329" w:name="Tc_lfhUVNPDKU27sPS2ddTsOg_9_31"/>
      <w:bookmarkStart w:id="330" w:name="Tc_5ycMcEtRY02grJAP5PLPuQ_9_28"/>
      <w:bookmarkStart w:id="331" w:name="Tc_GJcOuxB-p0mew5Q6QMwTnQ_9_25"/>
      <w:bookmarkStart w:id="332" w:name="Tc_WY7exDGUwk6e6sEXTIrVrQ_9_22"/>
      <w:bookmarkStart w:id="333" w:name="Tc_VrN4zMuSNU2k8HAcxhtXog_9_13"/>
      <w:bookmarkStart w:id="334" w:name="Tc_NsK5sQwrvEqVnWusObtC1w_9_10"/>
      <w:bookmarkStart w:id="335" w:name="Tc_T7fkjwi-l0eEBAoCEN7nuw_9_7"/>
      <w:bookmarkStart w:id="336" w:name="Tc_zE_-NCwH4UycfH0E1Vulrw_9_5"/>
      <w:bookmarkStart w:id="337" w:name="Tc_a76xr2rNiUmsE8IN8QIJHw_9_2"/>
      <w:bookmarkStart w:id="338" w:name="Tc_YG879tm1Fkm67zNq8BKCfw_9_0"/>
      <w:bookmarkStart w:id="339" w:name="Tc_2zSGEx4IR06BcY0ixMVeag_8_28"/>
      <w:bookmarkStart w:id="340" w:name="Tc_yTDWCp0xsUqRpJYyqmEecA_8_22"/>
      <w:bookmarkStart w:id="341" w:name="Tc_VJXofS5vBUiduclYv6iLRA_8_19"/>
      <w:bookmarkStart w:id="342" w:name="Tc_Ks6AH5d5HkWxLIt2VJdzBA_8_16"/>
      <w:bookmarkStart w:id="343" w:name="Tc_mEclH0eDzUC_h1MjC6qrCA_8_5"/>
      <w:bookmarkStart w:id="344" w:name="Tc_f5ZFFxzXwkG9hBkf_f0Rnw_8_2"/>
      <w:bookmarkStart w:id="345" w:name="Tc_ydSN9Vbc20ORHU6cLff0bg_8_0"/>
      <w:bookmarkStart w:id="346" w:name="Tc_U_obamm4B0CPylV1imdN-A_7_28"/>
      <w:bookmarkStart w:id="347" w:name="Tc_2CHIY52Ce0e0entZGLVasA_7_22"/>
      <w:bookmarkStart w:id="348" w:name="Tc_OtZflndm9kaGzhS7mxpRZA_7_19"/>
      <w:bookmarkStart w:id="349" w:name="Tc_7Yc-r9VvzkmY65a_8DSVkg_7_16"/>
      <w:bookmarkStart w:id="350" w:name="Tc_kRsInMZrN0-AugZau34ckg_7_5"/>
      <w:bookmarkStart w:id="351" w:name="Tc_M8VkywUeJ0WH17zDLL96jw_7_2"/>
      <w:bookmarkStart w:id="352" w:name="Tc_n3DCLX2bTEOyG9onxRqKVQ_7_0"/>
      <w:bookmarkStart w:id="353" w:name="Tc_t1tsf5IC_kmcbZP2pfVcJg_6_22"/>
      <w:bookmarkStart w:id="354" w:name="Tc_Me5W-HEme0ijveV5yvKlEQ_6_16"/>
      <w:bookmarkStart w:id="355" w:name="Tc_ls7IaGHf60mZO1giRBZhqg_6_13"/>
      <w:bookmarkStart w:id="356" w:name="Tc_1bvKu95HVkGmjKrOBtZguA_6_10"/>
      <w:bookmarkStart w:id="357" w:name="Tc_WIPPLLUCbkOgr2_SEBad7g_6_7"/>
      <w:bookmarkStart w:id="358" w:name="Tc_3d_n6ekFNEiJbpWEF0HxlQ_6_5"/>
      <w:bookmarkStart w:id="359" w:name="Tc_W9llCmskjUqKTFFBQQc6BA_6_2"/>
      <w:bookmarkStart w:id="360" w:name="Tc_ppJEouRCPU-xiVv2xkP6Mg_6_0"/>
      <w:bookmarkStart w:id="361" w:name="Tc_hQeXEuvqrkOL55EU8wwQdg_5_30"/>
      <w:bookmarkStart w:id="362" w:name="Tc_pe0KzbHdFkmEaL9y9sQOXg_5_27"/>
      <w:bookmarkStart w:id="363" w:name="Tc_Qq9hNGKauEqHtEPrmA4peQ_5_24"/>
      <w:bookmarkStart w:id="364" w:name="Tc_u4zjPXn_y0itpq9D4q4pZg_5_21"/>
      <w:bookmarkStart w:id="365" w:name="Tc_R4WFxIfUrEGTJwwgeU4Y0A_5_18"/>
      <w:bookmarkStart w:id="366" w:name="Tc_VJZRD3HAf0KgJFEQ1VgrBQ_5_15"/>
      <w:bookmarkStart w:id="367" w:name="Tc_wcGu9c4AI0e4gCKPvfiGJQ_5_12"/>
      <w:bookmarkStart w:id="368" w:name="Tc_7v1N6kesNEm9KBTFKs4muA_5_9"/>
      <w:bookmarkStart w:id="369" w:name="Tc_Tgi3rqK9mEWBu5fIOpG0Mw_5_4"/>
      <w:bookmarkStart w:id="370" w:name="Tc_egPAEqiwLEK0xYJ9zszD-Q_5_0"/>
      <w:bookmarkStart w:id="371" w:name="Tc_cOb7R5MjIkOcPdPSGvyF-w_4_30"/>
      <w:bookmarkStart w:id="372" w:name="Tc_guqwPyUVvkq9zB4Gwp0q3g_4_27"/>
      <w:bookmarkStart w:id="373" w:name="Tc_FgYTGSXtrEGxtN02zneV1Q_4_24"/>
      <w:bookmarkStart w:id="374" w:name="Tc_M6ZpHPdFqUWRi3YxLfmoSg_4_21"/>
      <w:bookmarkStart w:id="375" w:name="Tc_4mXsPLcVnkmVeit-cF0R2g_4_18"/>
      <w:bookmarkStart w:id="376" w:name="Tc_RRJ52MrYmUiHTCZbH4VWuA_4_15"/>
      <w:bookmarkStart w:id="377" w:name="Tc_0Imir8wFzEWuQnFIGylBHA_4_12"/>
      <w:bookmarkStart w:id="378" w:name="Tc_VPXQ2Twb_0Gxun2tqgZaUA_4_9"/>
      <w:bookmarkStart w:id="379" w:name="Tc_4aSKquYFtkCJjaj67zPbcw_4_7"/>
      <w:bookmarkStart w:id="380" w:name="Tc_6TPufKgwJkGBnr4J9NpWhA_4_4"/>
      <w:bookmarkStart w:id="381" w:name="Tc_m_OLEvVIrUC6f-jRDXFw1A_4_2"/>
      <w:bookmarkStart w:id="382" w:name="Tc_-5eXqnvAtEa-eipJKIX5AQ_3_27"/>
      <w:bookmarkStart w:id="383" w:name="Tc_S8Ds2IH2_kSFkBVLBQN8Og_3_24"/>
      <w:bookmarkStart w:id="384" w:name="Tc_NXUuvjMew0ebpnl_6LSb0A_3_21"/>
      <w:bookmarkStart w:id="385" w:name="Tc_9qi2QYiYgkC9Fk1cZbC6hg_3_18"/>
      <w:bookmarkStart w:id="386" w:name="Tc_taK2oAZ0cEWFPA6wXFt0Ig_3_15"/>
      <w:bookmarkStart w:id="387" w:name="Tc_aWXfNYAstE2kazS9BayK7A_3_12"/>
      <w:bookmarkStart w:id="388" w:name="Tc_OyPL5x2Z3EGtzVXoU3MKzQ_3_7"/>
      <w:bookmarkStart w:id="389" w:name="Tc_RPmT__Bb5UKBIp67GpAkSA_3_2"/>
      <w:bookmarkStart w:id="390" w:name="Tc_LpMNTANKbEizuUTenB8Eqw_2_27"/>
      <w:bookmarkStart w:id="391" w:name="Tc_U16XV5v0fEuFRPjWogD8nQ_2_24"/>
      <w:bookmarkStart w:id="392" w:name="Tc_fwwLvqyVOEKiu7pdZNvwvg_2_21"/>
      <w:bookmarkStart w:id="393" w:name="Tc_h6OELU3WsEWQWcB4zPnxXQ_2_12"/>
      <w:bookmarkStart w:id="394" w:name="Tc_hZkEBpl92UOeutyJDr87Sw_1_21"/>
      <w:bookmarkStart w:id="395" w:name="_e100c5de_5717_4182_b56b_0e511eacf914"/>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tbl>
      <w:tblPr>
        <w:tblW w:w="14398" w:type="dxa"/>
        <w:jc w:val="left"/>
        <w:tblInd w:w="0" w:type="dxa"/>
        <w:tblLayout w:type="fixed"/>
        <w:tblCellMar>
          <w:top w:w="0" w:type="dxa"/>
          <w:left w:w="0" w:type="dxa"/>
          <w:bottom w:w="0" w:type="dxa"/>
          <w:right w:w="0" w:type="dxa"/>
        </w:tblCellMar>
      </w:tblPr>
      <w:tblGrid>
        <w:gridCol w:w="946"/>
        <w:gridCol w:w="346"/>
        <w:gridCol w:w="586"/>
        <w:gridCol w:w="346"/>
        <w:gridCol w:w="237"/>
        <w:gridCol w:w="454"/>
        <w:gridCol w:w="346"/>
        <w:gridCol w:w="766"/>
        <w:gridCol w:w="346"/>
        <w:gridCol w:w="202"/>
        <w:gridCol w:w="489"/>
        <w:gridCol w:w="346"/>
        <w:gridCol w:w="181"/>
        <w:gridCol w:w="766"/>
        <w:gridCol w:w="346"/>
        <w:gridCol w:w="346"/>
        <w:gridCol w:w="691"/>
        <w:gridCol w:w="346"/>
        <w:gridCol w:w="181"/>
        <w:gridCol w:w="811"/>
        <w:gridCol w:w="346"/>
        <w:gridCol w:w="201"/>
        <w:gridCol w:w="850"/>
        <w:gridCol w:w="346"/>
        <w:gridCol w:w="181"/>
        <w:gridCol w:w="811"/>
        <w:gridCol w:w="346"/>
        <w:gridCol w:w="191"/>
        <w:gridCol w:w="620"/>
        <w:gridCol w:w="346"/>
        <w:gridCol w:w="226"/>
        <w:gridCol w:w="85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00710" cy="175260"/>
                      <wp:effectExtent l="0" t="0" r="0" b="0"/>
                      <wp:wrapNone/>
                      <wp:docPr id="17" name="Frame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72110" cy="175260"/>
                      <wp:effectExtent l="0" t="0" r="0" b="0"/>
                      <wp:wrapNone/>
                      <wp:docPr id="19" name="Frame1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0495" cy="175260"/>
                      <wp:effectExtent l="0" t="0" r="0" b="0"/>
                      <wp:wrapNone/>
                      <wp:docPr id="21"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88290" cy="175260"/>
                      <wp:effectExtent l="0" t="0" r="0" b="0"/>
                      <wp:wrapNone/>
                      <wp:docPr id="22" name="Frame22"/>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86410" cy="175260"/>
                      <wp:effectExtent l="0" t="0" r="0" b="0"/>
                      <wp:wrapNone/>
                      <wp:docPr id="24" name="Frame2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8270" cy="175260"/>
                      <wp:effectExtent l="0" t="0" r="0" b="0"/>
                      <wp:wrapNone/>
                      <wp:docPr id="26" name="Frame2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10515" cy="175260"/>
                      <wp:effectExtent l="0" t="0" r="0" b="0"/>
                      <wp:wrapNone/>
                      <wp:docPr id="27" name="Frame27"/>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14935" cy="175260"/>
                      <wp:effectExtent l="0" t="0" r="0" b="0"/>
                      <wp:wrapNone/>
                      <wp:docPr id="29" name="Frame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86410" cy="175260"/>
                      <wp:effectExtent l="0" t="0" r="0" b="0"/>
                      <wp:wrapNone/>
                      <wp:docPr id="30" name="Frame3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14985" cy="175260"/>
                      <wp:effectExtent l="0" t="0" r="0" b="0"/>
                      <wp:wrapNone/>
                      <wp:docPr id="36" name="Frame3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7635" cy="175260"/>
                      <wp:effectExtent l="0" t="0" r="0" b="0"/>
                      <wp:wrapNone/>
                      <wp:docPr id="38" name="Frame3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39750" cy="175260"/>
                      <wp:effectExtent l="0" t="0" r="0" b="0"/>
                      <wp:wrapNone/>
                      <wp:docPr id="39" name="Frame39"/>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4935" cy="175260"/>
                      <wp:effectExtent l="0" t="0" r="0" b="0"/>
                      <wp:wrapNone/>
                      <wp:docPr id="41" name="Frame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14985" cy="175260"/>
                      <wp:effectExtent l="0" t="0" r="0" b="0"/>
                      <wp:wrapNone/>
                      <wp:docPr id="42" name="Frame4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1285" cy="175260"/>
                      <wp:effectExtent l="0" t="0" r="0" b="0"/>
                      <wp:wrapNone/>
                      <wp:docPr id="44" name="Frame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93700" cy="175260"/>
                      <wp:effectExtent l="0" t="0" r="0" b="0"/>
                      <wp:wrapNone/>
                      <wp:docPr id="45" name="Frame45"/>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43560" cy="175260"/>
                      <wp:effectExtent l="0" t="0" r="0" b="0"/>
                      <wp:wrapNone/>
                      <wp:docPr id="48" name="Frame4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4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  ​ ​ ​</w:t>
            </w:r>
          </w:p>
        </w:tc>
        <w:tc>
          <w:tcPr>
            <w:tcW w:w="181"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4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Non-</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Preferred shares</w:t>
            </w:r>
          </w:p>
        </w:tc>
        <w:tc>
          <w:tcPr>
            <w:tcW w:w="346" w:type="dxa"/>
            <w:tcBorders/>
            <w:vAlign w:val="center"/>
          </w:tcPr>
          <w:p>
            <w:pPr>
              <w:pStyle w:val="TableContents"/>
              <w:bidi w:val="0"/>
              <w:spacing w:before="0" w:after="0"/>
              <w:ind w:left="0" w:right="0" w:hanging="0"/>
              <w:jc w:val="center"/>
              <w:rPr/>
            </w:pPr>
            <w:r>
              <w:rPr/>
              <w:t>​</w:t>
            </w:r>
          </w:p>
        </w:tc>
        <w:tc>
          <w:tcPr>
            <w:tcW w:w="18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Ordinary shares</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Statutory</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shareholder’s</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controlling</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reserve</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346" w:type="dxa"/>
            <w:tcBorders/>
            <w:vAlign w:val="center"/>
          </w:tcPr>
          <w:p>
            <w:pPr>
              <w:pStyle w:val="TableContents"/>
              <w:bidi w:val="0"/>
              <w:spacing w:before="0"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interests</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 equity</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290,000</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25,555,096</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11,441,712</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4,591,151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26,764,751</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(3,141,061)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39,659,138</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101,340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39,760,478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(11,293,895)</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(11,293,895)</w:t>
            </w:r>
          </w:p>
        </w:tc>
        <w:tc>
          <w:tcPr>
            <w:tcW w:w="3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(65,232)</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(11,359,127)</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to individuals</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363,745</w:t>
            </w:r>
          </w:p>
        </w:tc>
        <w:tc>
          <w:tcPr>
            <w:tcW w:w="34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2,134,783</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2,134,819</w:t>
            </w:r>
          </w:p>
        </w:tc>
        <w:tc>
          <w:tcPr>
            <w:tcW w:w="346"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2,134,819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issuance to third-party companies</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633,529</w:t>
            </w:r>
          </w:p>
        </w:tc>
        <w:tc>
          <w:tcPr>
            <w:tcW w:w="3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4,193,899</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4,193,962</w:t>
            </w:r>
          </w:p>
        </w:tc>
        <w:tc>
          <w:tcPr>
            <w:tcW w:w="3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4,193,962</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Appropriation of statutory reserve</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20,136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(20,136)</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893,939</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893,939</w:t>
            </w:r>
          </w:p>
        </w:tc>
        <w:tc>
          <w:tcPr>
            <w:tcW w:w="346" w:type="dxa"/>
            <w:tcBorders/>
            <w:vAlign w:val="center"/>
          </w:tcPr>
          <w:p>
            <w:pPr>
              <w:pStyle w:val="TableContents"/>
              <w:bidi w:val="0"/>
              <w:spacing w:before="0" w:after="0"/>
              <w:ind w:left="0" w:right="0" w:hanging="0"/>
              <w:jc w:val="left"/>
              <w:rPr/>
            </w:pPr>
            <w:r>
              <w:rPr/>
              <w:t> </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893,939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290,000</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26,552,370</w:t>
            </w:r>
          </w:p>
        </w:tc>
        <w:tc>
          <w:tcPr>
            <w:tcW w:w="346" w:type="dxa"/>
            <w:tcBorders/>
            <w:shd w:fill="CCEEFF" w:val="clear"/>
            <w:vAlign w:val="center"/>
          </w:tcPr>
          <w:p>
            <w:pPr>
              <w:pStyle w:val="TableContents"/>
              <w:bidi w:val="0"/>
              <w:spacing w:before="0" w:after="0"/>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2,655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17,770,394</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4,611,287</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15,450,720</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(2,247,122)</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35,587,963</w:t>
            </w:r>
          </w:p>
        </w:tc>
        <w:tc>
          <w:tcPr>
            <w:tcW w:w="346" w:type="dxa"/>
            <w:tcBorders/>
            <w:shd w:fill="CCEE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36,108</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35,624,071</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96" w:name="Tc_4WsrxhsHvkurWYCbKPUUfg_11_30"/>
      <w:bookmarkStart w:id="397" w:name="Tc_Lcy-B6s2FU-gJGMZvmRtWA_11_27"/>
      <w:bookmarkStart w:id="398" w:name="Tc_q1gdl1SmCEmYipsCnlDTUg_11_24"/>
      <w:bookmarkStart w:id="399" w:name="Tc_Y5x5gJOASEix8qhYD5RMfQ_11_21"/>
      <w:bookmarkStart w:id="400" w:name="Tc_k598fscEJUKqwhndX88Ujw_11_18"/>
      <w:bookmarkStart w:id="401" w:name="Tc_guSdFzTX_0upWEzVTPgw2g_11_15"/>
      <w:bookmarkStart w:id="402" w:name="Tc_OWaNYApqgk6ZMVfDTo09Eg_11_12"/>
      <w:bookmarkStart w:id="403" w:name="Tc_gB2i_y011EKTg4-umcb1ow_11_9"/>
      <w:bookmarkStart w:id="404" w:name="Tc_lPfGDKts3UiqPfXAUdcd6w_11_4"/>
      <w:bookmarkStart w:id="405" w:name="Tc_6_S6YTAyEU29mVJ2829f7Q_11_0"/>
      <w:bookmarkStart w:id="406" w:name="Tc_7ii1ed7h2UOaWXZ2TmQ7VA_10_19"/>
      <w:bookmarkStart w:id="407" w:name="Tc_e_xGwMxjcUGn98SirPfPWA_10_16"/>
      <w:bookmarkStart w:id="408" w:name="Tc_cqpyWU5H50OvDB-SfVSJhw_10_13"/>
      <w:bookmarkStart w:id="409" w:name="Tc_oj8TFdWqD0iTS3HwMeKunw_10_10"/>
      <w:bookmarkStart w:id="410" w:name="Tc_qAdqNNlnX0mK15n0zfiLuA_10_7"/>
      <w:bookmarkStart w:id="411" w:name="Tc_mjQXOZIWdUicLdE-_Bt8cw_10_5"/>
      <w:bookmarkStart w:id="412" w:name="Tc_amM-Ii5EmkSX2WsWdKi-Lg_10_2"/>
      <w:bookmarkStart w:id="413" w:name="Tc_Gok1UB9u50yM1UgPEUY_6Q_10_0"/>
      <w:bookmarkStart w:id="414" w:name="Tc_C1kz79v3gk2y8I1KWeY7PA_9_31"/>
      <w:bookmarkStart w:id="415" w:name="Tc_QtNZTrQN9E-vO2ykOFHmFA_9_28"/>
      <w:bookmarkStart w:id="416" w:name="Tc_Zoj917aieUKJ9jpiui8V8g_9_25"/>
      <w:bookmarkStart w:id="417" w:name="Tc_ufnBYiT8AU6yPSwFyztPfA_9_22"/>
      <w:bookmarkStart w:id="418" w:name="Tc_zW7722z760a4RwDh_-BpJQ_9_13"/>
      <w:bookmarkStart w:id="419" w:name="Tc_n1PLNAi1MUW_C3UafL-6Fw_9_10"/>
      <w:bookmarkStart w:id="420" w:name="Tc_DNaWlF96JUCmGW5_FbW-5g_9_7"/>
      <w:bookmarkStart w:id="421" w:name="Tc_VX_xOimaf0aDHHAg6VDsgQ_9_5"/>
      <w:bookmarkStart w:id="422" w:name="Tc_0sSh3JOsE0-QUXp0kNuKtA_9_2"/>
      <w:bookmarkStart w:id="423" w:name="Tc_aXWJ8R7HlkOeczfvToAICw_9_0"/>
      <w:bookmarkStart w:id="424" w:name="Tc_CYznzF5s8Ui31mhIWe5Rpg_8_28"/>
      <w:bookmarkStart w:id="425" w:name="Tc_BCdPmhyBKkyXyy4jUOD7lA_8_22"/>
      <w:bookmarkStart w:id="426" w:name="Tc_kN0wZC0VGkSNLhSBi27Lhg_8_19"/>
      <w:bookmarkStart w:id="427" w:name="Tc_c5YFnz9Dn0-NJJG1PE-bEw_8_16"/>
      <w:bookmarkStart w:id="428" w:name="Tc_7CFHLbX1B0ChIz73SFSrvA_8_10"/>
      <w:bookmarkStart w:id="429" w:name="Tc_xM3ek0ug2Ue5qR-XqlysEA_8_7"/>
      <w:bookmarkStart w:id="430" w:name="Tc_ohsvTP-LqEKvV3SVsKv9jg_8_5"/>
      <w:bookmarkStart w:id="431" w:name="Tc_-LuCKH-o90G6tAGeiqVAnw_8_2"/>
      <w:bookmarkStart w:id="432" w:name="Tc_VBLm1BLacEKI9UsZ09T0AQ_8_0"/>
      <w:bookmarkStart w:id="433" w:name="Tc_nKBESjObeE2nZYMqOqRnMg_7_28"/>
      <w:bookmarkStart w:id="434" w:name="Tc_jLrgIv_Tf0W8MaRCmlfNLA_7_22"/>
      <w:bookmarkStart w:id="435" w:name="Tc_wPQI6UlpZESCGc_WmqhSRA_7_19"/>
      <w:bookmarkStart w:id="436" w:name="Tc_iatMcwmlyEO6t4W3kBETGw_7_16"/>
      <w:bookmarkStart w:id="437" w:name="Tc_q77YM74PbEqoof1f8q0lfA_7_5"/>
      <w:bookmarkStart w:id="438" w:name="Tc__JLcnjwcS0SWr-HcdSLJIw_7_2"/>
      <w:bookmarkStart w:id="439" w:name="Tc_2Hc3acgqsk2Q5qxAXmIJDQ_7_0"/>
      <w:bookmarkStart w:id="440" w:name="Tc_XjSCqYSXm0W8GHgz2bmM4g_6_22"/>
      <w:bookmarkStart w:id="441" w:name="Tc_Wk1_rEB4W02L4muzTV-_OQ_6_16"/>
      <w:bookmarkStart w:id="442" w:name="Tc_cmJ825vPVUKNlDRjIRJ__w_6_13"/>
      <w:bookmarkStart w:id="443" w:name="Tc__kZCG2dNAEm7iCzstqP3Zg_6_10"/>
      <w:bookmarkStart w:id="444" w:name="Tc_Ira1ejO3JkaiNEsfzLPaNw_6_7"/>
      <w:bookmarkStart w:id="445" w:name="Tc_SOEsu_EjAUeTZSZl6Aie8A_6_5"/>
      <w:bookmarkStart w:id="446" w:name="Tc_I2dwkLwSKEeoUl4_T90UEA_6_2"/>
      <w:bookmarkStart w:id="447" w:name="Tc_plsdJ3nhakW4cDs9uD6d9A_6_0"/>
      <w:bookmarkStart w:id="448" w:name="Tc_VofhHfBss0CWqT29Y6fBVQ_5_30"/>
      <w:bookmarkStart w:id="449" w:name="Tc_SYPQCDKsMUuSHG-RwKWVVQ_5_27"/>
      <w:bookmarkStart w:id="450" w:name="Tc_cYTEITtzAECi7IIh3bCjBQ_5_24"/>
      <w:bookmarkStart w:id="451" w:name="Tc_MBdB7RgJOket_M1_6Ks5qg_5_21"/>
      <w:bookmarkStart w:id="452" w:name="Tc_9N3R0ZINtkOM49MX8rE8Uw_5_18"/>
      <w:bookmarkStart w:id="453" w:name="Tc_QgAsVTEcoEWLcsLVOHT7dA_5_15"/>
      <w:bookmarkStart w:id="454" w:name="Tc_IKZvyT71iUaRmVbEraK55Q_5_12"/>
      <w:bookmarkStart w:id="455" w:name="Tc_JYdW7KVODEe33o-csW2uMQ_5_9"/>
      <w:bookmarkStart w:id="456" w:name="Tc_m185Oe48UkuagHbOKA3c4g_5_4"/>
      <w:bookmarkStart w:id="457" w:name="Tc_s5UeJgAcN0aL4WD0o_aaXQ_5_0"/>
      <w:bookmarkStart w:id="458" w:name="Tc_WIzj089Hk0qTnVv42XJ7NA_4_30"/>
      <w:bookmarkStart w:id="459" w:name="Tc_xnRbVP5Y2U2C0gChLwPg6g_4_27"/>
      <w:bookmarkStart w:id="460" w:name="Tc_I3QoLM7LUkWJxR6oIDM68g_4_24"/>
      <w:bookmarkStart w:id="461" w:name="Tc_3k-7FPAiSEaIvAgP1UEZLw_4_21"/>
      <w:bookmarkStart w:id="462" w:name="Tc_vGD9-oc_4UCT_v1TQ5vLQg_4_18"/>
      <w:bookmarkStart w:id="463" w:name="Tc_H8a1mAyClUmYcq0DtkZ1PQ_4_15"/>
      <w:bookmarkStart w:id="464" w:name="Tc_x6tOe9Nxg0WZ27ltdE8eow_4_12"/>
      <w:bookmarkStart w:id="465" w:name="Tc_pJXrswW6kUO13Rqf3AtyHg_4_9"/>
      <w:bookmarkStart w:id="466" w:name="Tc_Xw7qfLXy1keueCoIh7X8Kw_4_7"/>
      <w:bookmarkStart w:id="467" w:name="Tc_QGo9NVuy40GfW2B6bFlXlA_4_4"/>
      <w:bookmarkStart w:id="468" w:name="Tc_j-uezV6PXkiM9QXA2xVK7Q_4_2"/>
      <w:bookmarkStart w:id="469" w:name="Tc_BRkox-AqIkKl3NeGmy1-zw_3_27"/>
      <w:bookmarkStart w:id="470" w:name="Tc_RZup94ZqBUSPugje84DhQA_3_24"/>
      <w:bookmarkStart w:id="471" w:name="Tc_MQAGA_9KyU6i1_7M9ur-kQ_3_21"/>
      <w:bookmarkStart w:id="472" w:name="Tc_atK9YFCzEUec4z6xtJM9hg_3_18"/>
      <w:bookmarkStart w:id="473" w:name="Tc_YZ93X4QwVUC3gjy0APMnCQ_3_15"/>
      <w:bookmarkStart w:id="474" w:name="Tc_ZCv59v-0yk2IR8we1afstw_3_12"/>
      <w:bookmarkStart w:id="475" w:name="Tc_wtQ2ilynJEWqHygS0mGxjQ_3_7"/>
      <w:bookmarkStart w:id="476" w:name="Tc_-r_kVgVNOEieQ3CeJbAymg_3_2"/>
      <w:bookmarkStart w:id="477" w:name="Tc_w4uT_D8lPEGNHowof0icSQ_2_27"/>
      <w:bookmarkStart w:id="478" w:name="Tc_zFOUfQ1FJ0amH5zmw1a13w_2_24"/>
      <w:bookmarkStart w:id="479" w:name="Tc_vRopeTTR2kaT1ePIAYy9LQ_2_21"/>
      <w:bookmarkStart w:id="480" w:name="Tc_KSnz0ye1J0ijU9qctZ3ZuQ_2_12"/>
      <w:bookmarkStart w:id="481" w:name="Tc_BIpEaNhDuESjrZGRcHAICQ_1_21"/>
      <w:bookmarkStart w:id="482" w:name="_f9b75b38_52d0_4602_8bd5_4f87441d0c4b"/>
      <w:bookmarkStart w:id="483" w:name="Tc_4WsrxhsHvkurWYCbKPUUfg_11_30"/>
      <w:bookmarkStart w:id="484" w:name="Tc_Lcy-B6s2FU-gJGMZvmRtWA_11_27"/>
      <w:bookmarkStart w:id="485" w:name="Tc_q1gdl1SmCEmYipsCnlDTUg_11_24"/>
      <w:bookmarkStart w:id="486" w:name="Tc_Y5x5gJOASEix8qhYD5RMfQ_11_21"/>
      <w:bookmarkStart w:id="487" w:name="Tc_k598fscEJUKqwhndX88Ujw_11_18"/>
      <w:bookmarkStart w:id="488" w:name="Tc_guSdFzTX_0upWEzVTPgw2g_11_15"/>
      <w:bookmarkStart w:id="489" w:name="Tc_OWaNYApqgk6ZMVfDTo09Eg_11_12"/>
      <w:bookmarkStart w:id="490" w:name="Tc_gB2i_y011EKTg4-umcb1ow_11_9"/>
      <w:bookmarkStart w:id="491" w:name="Tc_lPfGDKts3UiqPfXAUdcd6w_11_4"/>
      <w:bookmarkStart w:id="492" w:name="Tc_6_S6YTAyEU29mVJ2829f7Q_11_0"/>
      <w:bookmarkStart w:id="493" w:name="Tc_7ii1ed7h2UOaWXZ2TmQ7VA_10_19"/>
      <w:bookmarkStart w:id="494" w:name="Tc_e_xGwMxjcUGn98SirPfPWA_10_16"/>
      <w:bookmarkStart w:id="495" w:name="Tc_cqpyWU5H50OvDB-SfVSJhw_10_13"/>
      <w:bookmarkStart w:id="496" w:name="Tc_oj8TFdWqD0iTS3HwMeKunw_10_10"/>
      <w:bookmarkStart w:id="497" w:name="Tc_qAdqNNlnX0mK15n0zfiLuA_10_7"/>
      <w:bookmarkStart w:id="498" w:name="Tc_mjQXOZIWdUicLdE-_Bt8cw_10_5"/>
      <w:bookmarkStart w:id="499" w:name="Tc_amM-Ii5EmkSX2WsWdKi-Lg_10_2"/>
      <w:bookmarkStart w:id="500" w:name="Tc_Gok1UB9u50yM1UgPEUY_6Q_10_0"/>
      <w:bookmarkStart w:id="501" w:name="Tc_C1kz79v3gk2y8I1KWeY7PA_9_31"/>
      <w:bookmarkStart w:id="502" w:name="Tc_QtNZTrQN9E-vO2ykOFHmFA_9_28"/>
      <w:bookmarkStart w:id="503" w:name="Tc_Zoj917aieUKJ9jpiui8V8g_9_25"/>
      <w:bookmarkStart w:id="504" w:name="Tc_ufnBYiT8AU6yPSwFyztPfA_9_22"/>
      <w:bookmarkStart w:id="505" w:name="Tc_zW7722z760a4RwDh_-BpJQ_9_13"/>
      <w:bookmarkStart w:id="506" w:name="Tc_n1PLNAi1MUW_C3UafL-6Fw_9_10"/>
      <w:bookmarkStart w:id="507" w:name="Tc_DNaWlF96JUCmGW5_FbW-5g_9_7"/>
      <w:bookmarkStart w:id="508" w:name="Tc_VX_xOimaf0aDHHAg6VDsgQ_9_5"/>
      <w:bookmarkStart w:id="509" w:name="Tc_0sSh3JOsE0-QUXp0kNuKtA_9_2"/>
      <w:bookmarkStart w:id="510" w:name="Tc_aXWJ8R7HlkOeczfvToAICw_9_0"/>
      <w:bookmarkStart w:id="511" w:name="Tc_CYznzF5s8Ui31mhIWe5Rpg_8_28"/>
      <w:bookmarkStart w:id="512" w:name="Tc_BCdPmhyBKkyXyy4jUOD7lA_8_22"/>
      <w:bookmarkStart w:id="513" w:name="Tc_kN0wZC0VGkSNLhSBi27Lhg_8_19"/>
      <w:bookmarkStart w:id="514" w:name="Tc_c5YFnz9Dn0-NJJG1PE-bEw_8_16"/>
      <w:bookmarkStart w:id="515" w:name="Tc_7CFHLbX1B0ChIz73SFSrvA_8_10"/>
      <w:bookmarkStart w:id="516" w:name="Tc_xM3ek0ug2Ue5qR-XqlysEA_8_7"/>
      <w:bookmarkStart w:id="517" w:name="Tc_ohsvTP-LqEKvV3SVsKv9jg_8_5"/>
      <w:bookmarkStart w:id="518" w:name="Tc_-LuCKH-o90G6tAGeiqVAnw_8_2"/>
      <w:bookmarkStart w:id="519" w:name="Tc_VBLm1BLacEKI9UsZ09T0AQ_8_0"/>
      <w:bookmarkStart w:id="520" w:name="Tc_nKBESjObeE2nZYMqOqRnMg_7_28"/>
      <w:bookmarkStart w:id="521" w:name="Tc_jLrgIv_Tf0W8MaRCmlfNLA_7_22"/>
      <w:bookmarkStart w:id="522" w:name="Tc_wPQI6UlpZESCGc_WmqhSRA_7_19"/>
      <w:bookmarkStart w:id="523" w:name="Tc_iatMcwmlyEO6t4W3kBETGw_7_16"/>
      <w:bookmarkStart w:id="524" w:name="Tc_q77YM74PbEqoof1f8q0lfA_7_5"/>
      <w:bookmarkStart w:id="525" w:name="Tc__JLcnjwcS0SWr-HcdSLJIw_7_2"/>
      <w:bookmarkStart w:id="526" w:name="Tc_2Hc3acgqsk2Q5qxAXmIJDQ_7_0"/>
      <w:bookmarkStart w:id="527" w:name="Tc_XjSCqYSXm0W8GHgz2bmM4g_6_22"/>
      <w:bookmarkStart w:id="528" w:name="Tc_Wk1_rEB4W02L4muzTV-_OQ_6_16"/>
      <w:bookmarkStart w:id="529" w:name="Tc_cmJ825vPVUKNlDRjIRJ__w_6_13"/>
      <w:bookmarkStart w:id="530" w:name="Tc__kZCG2dNAEm7iCzstqP3Zg_6_10"/>
      <w:bookmarkStart w:id="531" w:name="Tc_Ira1ejO3JkaiNEsfzLPaNw_6_7"/>
      <w:bookmarkStart w:id="532" w:name="Tc_SOEsu_EjAUeTZSZl6Aie8A_6_5"/>
      <w:bookmarkStart w:id="533" w:name="Tc_I2dwkLwSKEeoUl4_T90UEA_6_2"/>
      <w:bookmarkStart w:id="534" w:name="Tc_plsdJ3nhakW4cDs9uD6d9A_6_0"/>
      <w:bookmarkStart w:id="535" w:name="Tc_VofhHfBss0CWqT29Y6fBVQ_5_30"/>
      <w:bookmarkStart w:id="536" w:name="Tc_SYPQCDKsMUuSHG-RwKWVVQ_5_27"/>
      <w:bookmarkStart w:id="537" w:name="Tc_cYTEITtzAECi7IIh3bCjBQ_5_24"/>
      <w:bookmarkStart w:id="538" w:name="Tc_MBdB7RgJOket_M1_6Ks5qg_5_21"/>
      <w:bookmarkStart w:id="539" w:name="Tc_9N3R0ZINtkOM49MX8rE8Uw_5_18"/>
      <w:bookmarkStart w:id="540" w:name="Tc_QgAsVTEcoEWLcsLVOHT7dA_5_15"/>
      <w:bookmarkStart w:id="541" w:name="Tc_IKZvyT71iUaRmVbEraK55Q_5_12"/>
      <w:bookmarkStart w:id="542" w:name="Tc_JYdW7KVODEe33o-csW2uMQ_5_9"/>
      <w:bookmarkStart w:id="543" w:name="Tc_m185Oe48UkuagHbOKA3c4g_5_4"/>
      <w:bookmarkStart w:id="544" w:name="Tc_s5UeJgAcN0aL4WD0o_aaXQ_5_0"/>
      <w:bookmarkStart w:id="545" w:name="Tc_WIzj089Hk0qTnVv42XJ7NA_4_30"/>
      <w:bookmarkStart w:id="546" w:name="Tc_xnRbVP5Y2U2C0gChLwPg6g_4_27"/>
      <w:bookmarkStart w:id="547" w:name="Tc_I3QoLM7LUkWJxR6oIDM68g_4_24"/>
      <w:bookmarkStart w:id="548" w:name="Tc_3k-7FPAiSEaIvAgP1UEZLw_4_21"/>
      <w:bookmarkStart w:id="549" w:name="Tc_vGD9-oc_4UCT_v1TQ5vLQg_4_18"/>
      <w:bookmarkStart w:id="550" w:name="Tc_H8a1mAyClUmYcq0DtkZ1PQ_4_15"/>
      <w:bookmarkStart w:id="551" w:name="Tc_x6tOe9Nxg0WZ27ltdE8eow_4_12"/>
      <w:bookmarkStart w:id="552" w:name="Tc_pJXrswW6kUO13Rqf3AtyHg_4_9"/>
      <w:bookmarkStart w:id="553" w:name="Tc_Xw7qfLXy1keueCoIh7X8Kw_4_7"/>
      <w:bookmarkStart w:id="554" w:name="Tc_QGo9NVuy40GfW2B6bFlXlA_4_4"/>
      <w:bookmarkStart w:id="555" w:name="Tc_j-uezV6PXkiM9QXA2xVK7Q_4_2"/>
      <w:bookmarkStart w:id="556" w:name="Tc_BRkox-AqIkKl3NeGmy1-zw_3_27"/>
      <w:bookmarkStart w:id="557" w:name="Tc_RZup94ZqBUSPugje84DhQA_3_24"/>
      <w:bookmarkStart w:id="558" w:name="Tc_MQAGA_9KyU6i1_7M9ur-kQ_3_21"/>
      <w:bookmarkStart w:id="559" w:name="Tc_atK9YFCzEUec4z6xtJM9hg_3_18"/>
      <w:bookmarkStart w:id="560" w:name="Tc_YZ93X4QwVUC3gjy0APMnCQ_3_15"/>
      <w:bookmarkStart w:id="561" w:name="Tc_ZCv59v-0yk2IR8we1afstw_3_12"/>
      <w:bookmarkStart w:id="562" w:name="Tc_wtQ2ilynJEWqHygS0mGxjQ_3_7"/>
      <w:bookmarkStart w:id="563" w:name="Tc_-r_kVgVNOEieQ3CeJbAymg_3_2"/>
      <w:bookmarkStart w:id="564" w:name="Tc_w4uT_D8lPEGNHowof0icSQ_2_27"/>
      <w:bookmarkStart w:id="565" w:name="Tc_zFOUfQ1FJ0amH5zmw1a13w_2_24"/>
      <w:bookmarkStart w:id="566" w:name="Tc_vRopeTTR2kaT1ePIAYy9LQ_2_21"/>
      <w:bookmarkStart w:id="567" w:name="Tc_KSnz0ye1J0ijU9qctZ3ZuQ_2_12"/>
      <w:bookmarkStart w:id="568" w:name="Tc_BIpEaNhDuESjrZGRcHAICQ_1_21"/>
      <w:bookmarkStart w:id="569" w:name="_f9b75b38_52d0_4602_8bd5_4f87441d0c4b"/>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tbl>
      <w:tblPr>
        <w:tblW w:w="13843" w:type="dxa"/>
        <w:jc w:val="left"/>
        <w:tblInd w:w="0" w:type="dxa"/>
        <w:tblLayout w:type="fixed"/>
        <w:tblCellMar>
          <w:top w:w="0" w:type="dxa"/>
          <w:left w:w="0" w:type="dxa"/>
          <w:bottom w:w="0" w:type="dxa"/>
          <w:right w:w="0" w:type="dxa"/>
        </w:tblCellMar>
      </w:tblPr>
      <w:tblGrid>
        <w:gridCol w:w="946"/>
        <w:gridCol w:w="346"/>
        <w:gridCol w:w="586"/>
        <w:gridCol w:w="346"/>
        <w:gridCol w:w="216"/>
        <w:gridCol w:w="415"/>
        <w:gridCol w:w="346"/>
        <w:gridCol w:w="766"/>
        <w:gridCol w:w="346"/>
        <w:gridCol w:w="185"/>
        <w:gridCol w:w="446"/>
        <w:gridCol w:w="346"/>
        <w:gridCol w:w="181"/>
        <w:gridCol w:w="766"/>
        <w:gridCol w:w="346"/>
        <w:gridCol w:w="181"/>
        <w:gridCol w:w="691"/>
        <w:gridCol w:w="346"/>
        <w:gridCol w:w="194"/>
        <w:gridCol w:w="677"/>
        <w:gridCol w:w="346"/>
        <w:gridCol w:w="195"/>
        <w:gridCol w:w="796"/>
        <w:gridCol w:w="346"/>
        <w:gridCol w:w="181"/>
        <w:gridCol w:w="766"/>
        <w:gridCol w:w="346"/>
        <w:gridCol w:w="181"/>
        <w:gridCol w:w="631"/>
        <w:gridCol w:w="346"/>
        <w:gridCol w:w="181"/>
        <w:gridCol w:w="85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0710" cy="175260"/>
                      <wp:effectExtent l="0" t="0" r="0" b="0"/>
                      <wp:wrapNone/>
                      <wp:docPr id="49" name="Frame4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72110" cy="175260"/>
                      <wp:effectExtent l="0" t="0" r="0" b="0"/>
                      <wp:wrapNone/>
                      <wp:docPr id="51" name="Frame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7160" cy="175260"/>
                      <wp:effectExtent l="0" t="0" r="0" b="0"/>
                      <wp:wrapNone/>
                      <wp:docPr id="53" name="Frame5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3525" cy="175260"/>
                      <wp:effectExtent l="0" t="0" r="0" b="0"/>
                      <wp:wrapNone/>
                      <wp:docPr id="54" name="Frame5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86410" cy="175260"/>
                      <wp:effectExtent l="0" t="0" r="0" b="0"/>
                      <wp:wrapNone/>
                      <wp:docPr id="56" name="Frame5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17475" cy="175260"/>
                      <wp:effectExtent l="0" t="0" r="0" b="0"/>
                      <wp:wrapNone/>
                      <wp:docPr id="58" name="Frame58"/>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3210" cy="175260"/>
                      <wp:effectExtent l="0" t="0" r="0" b="0"/>
                      <wp:wrapNone/>
                      <wp:docPr id="59" name="Frame59"/>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4935" cy="175260"/>
                      <wp:effectExtent l="0" t="0" r="0" b="0"/>
                      <wp:wrapNone/>
                      <wp:docPr id="61" name="Frame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86410" cy="175260"/>
                      <wp:effectExtent l="0" t="0" r="0" b="0"/>
                      <wp:wrapNone/>
                      <wp:docPr id="62" name="Frame6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38785" cy="175260"/>
                      <wp:effectExtent l="0" t="0" r="0" b="0"/>
                      <wp:wrapNone/>
                      <wp:docPr id="65" name="Frame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3190" cy="175260"/>
                      <wp:effectExtent l="0" t="0" r="0" b="0"/>
                      <wp:wrapNone/>
                      <wp:docPr id="67" name="Frame6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895" cy="175260"/>
                      <wp:effectExtent l="0" t="0" r="0" b="0"/>
                      <wp:wrapNone/>
                      <wp:docPr id="68" name="Frame6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3825" cy="175260"/>
                      <wp:effectExtent l="0" t="0" r="0" b="0"/>
                      <wp:wrapNone/>
                      <wp:docPr id="70" name="Frame70"/>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5460" cy="175260"/>
                      <wp:effectExtent l="0" t="0" r="0" b="0"/>
                      <wp:wrapNone/>
                      <wp:docPr id="71" name="Frame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14935" cy="175260"/>
                      <wp:effectExtent l="0" t="0" r="0" b="0"/>
                      <wp:wrapNone/>
                      <wp:docPr id="73" name="Frame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86410" cy="175260"/>
                      <wp:effectExtent l="0" t="0" r="0" b="0"/>
                      <wp:wrapNone/>
                      <wp:docPr id="74" name="Frame7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4935" cy="175260"/>
                      <wp:effectExtent l="0" t="0" r="0" b="0"/>
                      <wp:wrapNone/>
                      <wp:docPr id="76" name="Frame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0685" cy="175260"/>
                      <wp:effectExtent l="0" t="0" r="0" b="0"/>
                      <wp:wrapNone/>
                      <wp:docPr id="77" name="Frame7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79"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3560" cy="175260"/>
                      <wp:effectExtent l="0" t="0" r="0" b="0"/>
                      <wp:wrapNone/>
                      <wp:docPr id="80" name="Frame8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shares</w:t>
            </w:r>
          </w:p>
        </w:tc>
        <w:tc>
          <w:tcPr>
            <w:tcW w:w="346" w:type="dxa"/>
            <w:tcBorders/>
            <w:vAlign w:val="center"/>
          </w:tcPr>
          <w:p>
            <w:pPr>
              <w:pStyle w:val="TableContents"/>
              <w:bidi w:val="0"/>
              <w:spacing w:before="0" w:after="0"/>
              <w:ind w:left="0" w:right="0" w:hanging="0"/>
              <w:jc w:val="center"/>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 shares</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Statutory</w:t>
            </w:r>
          </w:p>
        </w:tc>
        <w:tc>
          <w:tcPr>
            <w:tcW w:w="34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4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Amounts</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Amounts</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reserve</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290,000</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30,752,370</w:t>
            </w:r>
          </w:p>
        </w:tc>
        <w:tc>
          <w:tcPr>
            <w:tcW w:w="346" w:type="dxa"/>
            <w:tcBorders/>
            <w:shd w:fill="CCEEFF" w:val="clear"/>
            <w:vAlign w:val="center"/>
          </w:tcPr>
          <w:p>
            <w:pPr>
              <w:pStyle w:val="TableContents"/>
              <w:bidi w:val="0"/>
              <w:spacing w:before="0" w:after="0"/>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28,658,524</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4,593,312</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(515,415)</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(1,371,894)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31,367,631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(144,089)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31,223,542</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35,405</w:t>
            </w:r>
          </w:p>
        </w:tc>
        <w:tc>
          <w:tcPr>
            <w:tcW w:w="346"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35,405</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(21,906)</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13,499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to individuals</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1,250,000</w:t>
            </w:r>
          </w:p>
        </w:tc>
        <w:tc>
          <w:tcPr>
            <w:tcW w:w="346"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2,384,875</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5"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2,385,000</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2,385,000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Accrual of PIPE dividend</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(101,500)</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(101,500)</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(101,500)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Appropriation of statutory reserve</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w:t>
            </w:r>
          </w:p>
        </w:tc>
        <w:tc>
          <w:tcPr>
            <w:tcW w:w="346"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w:t>
            </w:r>
          </w:p>
        </w:tc>
        <w:tc>
          <w:tcPr>
            <w:tcW w:w="346" w:type="dxa"/>
            <w:tcBorders/>
            <w:shd w:fill="CCEEFF" w:val="clear"/>
            <w:vAlign w:val="center"/>
          </w:tcPr>
          <w:p>
            <w:pPr>
              <w:pStyle w:val="TableContents"/>
              <w:bidi w:val="0"/>
              <w:spacing w:before="0" w:after="0"/>
              <w:ind w:left="0" w:right="0" w:hanging="0"/>
              <w:jc w:val="left"/>
              <w:rPr/>
            </w:pPr>
            <w:r>
              <w:rPr/>
              <w:t> </w:t>
            </w:r>
          </w:p>
        </w:tc>
        <w:tc>
          <w:tcPr>
            <w:tcW w:w="195"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1,094,238</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1,094,238</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10,941</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1,105,179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290,000</w:t>
            </w:r>
          </w:p>
        </w:tc>
        <w:tc>
          <w:tcPr>
            <w:tcW w:w="346"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32,002,370</w:t>
            </w:r>
          </w:p>
        </w:tc>
        <w:tc>
          <w:tcPr>
            <w:tcW w:w="346" w:type="dxa"/>
            <w:tcBorders/>
            <w:shd w:fill="CCEEFF" w:val="clear"/>
            <w:vAlign w:val="center"/>
          </w:tcPr>
          <w:p>
            <w:pPr>
              <w:pStyle w:val="TableContents"/>
              <w:bidi w:val="0"/>
              <w:spacing w:before="0" w:after="0"/>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3,200</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30,941,899</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4,593,955</w:t>
            </w:r>
          </w:p>
        </w:tc>
        <w:tc>
          <w:tcPr>
            <w:tcW w:w="346" w:type="dxa"/>
            <w:tcBorders/>
            <w:shd w:fill="CCEE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(480,653)</w:t>
            </w:r>
          </w:p>
        </w:tc>
        <w:tc>
          <w:tcPr>
            <w:tcW w:w="346" w:type="dxa"/>
            <w:tcBorders/>
            <w:shd w:fill="CCEEFF" w:val="clear"/>
            <w:vAlign w:val="center"/>
          </w:tcPr>
          <w:p>
            <w:pPr>
              <w:pStyle w:val="TableContents"/>
              <w:bidi w:val="0"/>
              <w:spacing w:before="0" w:after="0"/>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(277,656)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34,780,774</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(155,054)</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34,625,720</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0" w:name="_3ef61425_b349_4478_9451_1d12c2b0d297"/>
      <w:bookmarkEnd w:id="570"/>
      <w:r>
        <w:rPr>
          <w:rFonts w:ascii="Times New Roman;Times;serif" w:hAnsi="Times New Roman;Times;serif"/>
          <w:b/>
          <w:sz w:val="20"/>
        </w:rPr>
        <w:t>BAIRD MEDICAL INVESTMENT HOLDINGS LIMITED</w:t>
      </w:r>
    </w:p>
    <w:p>
      <w:pPr>
        <w:pStyle w:val="TextBody"/>
        <w:bidi w:val="0"/>
        <w:spacing w:before="0" w:after="240"/>
        <w:ind w:left="0" w:right="0" w:hanging="0"/>
        <w:jc w:val="center"/>
        <w:rPr>
          <w:rFonts w:ascii="Times New Roman;Times;serif" w:hAnsi="Times New Roman;Times;serif"/>
          <w:b/>
          <w:sz w:val="20"/>
        </w:rPr>
      </w:pPr>
      <w:bookmarkStart w:id="571" w:name="CASHFLOWS_580349"/>
      <w:bookmarkEnd w:id="571"/>
      <w:r>
        <w:rPr>
          <w:rFonts w:ascii="Times New Roman;Times;serif" w:hAnsi="Times New Roman;Times;serif"/>
          <w:b/>
          <w:sz w:val="20"/>
        </w:rPr>
        <w:t>UNAUDITED INTERIM CONDENSED 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Normal"/>
        <w:bidi w:val="0"/>
        <w:spacing w:before="0" w:after="0"/>
        <w:jc w:val="left"/>
        <w:rPr>
          <w:sz w:val="4"/>
          <w:szCs w:val="4"/>
        </w:rPr>
      </w:pPr>
      <w:r>
        <w:rPr>
          <w:sz w:val="4"/>
          <w:szCs w:val="4"/>
        </w:rPr>
      </w:r>
      <w:bookmarkStart w:id="572" w:name="Tc_eJfLO-ewZkaiJ6sBmnPyuA_24_5"/>
      <w:bookmarkStart w:id="573" w:name="Tc_EQw6olFZPUKM0gR1uTUMww_24_3"/>
      <w:bookmarkStart w:id="574" w:name="Tc_S23Dgx3-QE6jG611CdFOvA_24_2"/>
      <w:bookmarkStart w:id="575" w:name="Tc_DqRUGGGTk0KmhEmBM12S1w_24_0"/>
      <w:bookmarkStart w:id="576" w:name="Tc_Q8TARC0FLEaPHuMIkoWung_23_6"/>
      <w:bookmarkStart w:id="577" w:name="Tc_sdzxQ-166UGzZkLqdbOn9g_23_0"/>
      <w:bookmarkStart w:id="578" w:name="Tc_gAjeI1sxyUuvUXxDv6CjkA_22_0"/>
      <w:bookmarkStart w:id="579" w:name="Tc_6fd51NtOqESN3uNNdJe9Nw_21_5"/>
      <w:bookmarkStart w:id="580" w:name="Tc_WY_E3R3PsUWPiVnpEMKqGQ_21_2"/>
      <w:bookmarkStart w:id="581" w:name="Tc_hR_p8ys5p0KiUSuNa5Exkw_21_0"/>
      <w:bookmarkStart w:id="582" w:name="Tc_qGeEVbXt0UWn8WQGC8JwdQ_20_5"/>
      <w:bookmarkStart w:id="583" w:name="Tc_pPqTYONuV02mw3XUk_ljRg_20_2"/>
      <w:bookmarkStart w:id="584" w:name="Tc_fzizvC_l4kyFqDQ1dnVrLg_20_0"/>
      <w:bookmarkStart w:id="585" w:name="Tc_-76dpgNZ2kydKiBgrJjHzg_19_0"/>
      <w:bookmarkStart w:id="586" w:name="Tc_IgjYjdIZf0u_znnuncEyYg_18_5"/>
      <w:bookmarkStart w:id="587" w:name="Tc_LU-9lCJzzEWP8PsVJfzcAA_18_2"/>
      <w:bookmarkStart w:id="588" w:name="Tc_Ufh-PME0DEGYr5ppGlnDbQ_18_0"/>
      <w:bookmarkStart w:id="589" w:name="Tc_7Iden3vZoE6l0J8TUBIuHA_17_5"/>
      <w:bookmarkStart w:id="590" w:name="Tc_3WTHnf6GgEGUCryGHV7Fsg_17_2"/>
      <w:bookmarkStart w:id="591" w:name="Tc_35y7z520DE2QWNUCWicWOA_17_0"/>
      <w:bookmarkStart w:id="592" w:name="Tc_geoXV91p2Ee7_ZXnSuyu8Q_16_0"/>
      <w:bookmarkStart w:id="593" w:name="Tc_f98SD2mPZk2mzUVAPTV-Ng_15_0"/>
      <w:bookmarkStart w:id="594" w:name="Tc_vzbktIOx00Gw_QLLRSaA5A_14_0"/>
      <w:bookmarkStart w:id="595" w:name="Tc_YSC4a_vB802wX_F9JitHxA_13_0"/>
      <w:bookmarkStart w:id="596" w:name="Tc_8_IaHzVigUmPIqqV_3UPdQ_12_0"/>
      <w:bookmarkStart w:id="597" w:name="Tc_206GB_9KT0OoaUrYk_y1AA_11_0"/>
      <w:bookmarkStart w:id="598" w:name="Tc_P_K0GmMWf0mzCM-giIouOQ_10_6"/>
      <w:bookmarkStart w:id="599" w:name="Tc_mUz6HxonD0usc9FUz41PLg_10_0"/>
      <w:bookmarkStart w:id="600" w:name="Tc_c_7N72Z67UyUTdnHLTenkA_9_0"/>
      <w:bookmarkStart w:id="601" w:name="Tc_OjSFBBqikUqMcN9gS_gUoA_8_0"/>
      <w:bookmarkStart w:id="602" w:name="Tc_-Obo3rOJ7EWHPZC1Z9UBAw_7_0"/>
      <w:bookmarkStart w:id="603" w:name="Tc_mZUajzwZH0KLrsY1bn2PaA_6_6"/>
      <w:bookmarkStart w:id="604" w:name="Tc_KDEva1NO6kam1LNqZ2JF9Q_6_0"/>
      <w:bookmarkStart w:id="605" w:name="Tc_FxPaFimslkCC3SBkDd6Wzw_5_0"/>
      <w:bookmarkStart w:id="606" w:name="Tc_VmTAerwtw0WNk1Iot4ONzA_4_5"/>
      <w:bookmarkStart w:id="607" w:name="Tc_yzcttlJOP0i2XhLvbQxBeA_4_2"/>
      <w:bookmarkStart w:id="608" w:name="Tc_37mEpB7c9k2S69dYlCNVMA_4_0"/>
      <w:bookmarkStart w:id="609" w:name="Tc_hlRK8tigZkOEr8l0HYlEqA_3_0"/>
      <w:bookmarkStart w:id="610" w:name="Tc_lJ1YZGegzk6tuOG_4NnFkg_2_5"/>
      <w:bookmarkStart w:id="611" w:name="Tc__g0ciEVoskqdO8N-Mp0Rhg_2_2"/>
      <w:bookmarkStart w:id="612" w:name="Tc_iOSrzwdqN06_FW3aNV_tgg_1_2"/>
      <w:bookmarkStart w:id="613" w:name="_4d30cecd_cbae_4238_be00_ff502d5a01ef"/>
      <w:bookmarkStart w:id="614" w:name="Tc_eJfLO-ewZkaiJ6sBmnPyuA_24_5"/>
      <w:bookmarkStart w:id="615" w:name="Tc_EQw6olFZPUKM0gR1uTUMww_24_3"/>
      <w:bookmarkStart w:id="616" w:name="Tc_S23Dgx3-QE6jG611CdFOvA_24_2"/>
      <w:bookmarkStart w:id="617" w:name="Tc_DqRUGGGTk0KmhEmBM12S1w_24_0"/>
      <w:bookmarkStart w:id="618" w:name="Tc_Q8TARC0FLEaPHuMIkoWung_23_6"/>
      <w:bookmarkStart w:id="619" w:name="Tc_sdzxQ-166UGzZkLqdbOn9g_23_0"/>
      <w:bookmarkStart w:id="620" w:name="Tc_gAjeI1sxyUuvUXxDv6CjkA_22_0"/>
      <w:bookmarkStart w:id="621" w:name="Tc_6fd51NtOqESN3uNNdJe9Nw_21_5"/>
      <w:bookmarkStart w:id="622" w:name="Tc_WY_E3R3PsUWPiVnpEMKqGQ_21_2"/>
      <w:bookmarkStart w:id="623" w:name="Tc_hR_p8ys5p0KiUSuNa5Exkw_21_0"/>
      <w:bookmarkStart w:id="624" w:name="Tc_qGeEVbXt0UWn8WQGC8JwdQ_20_5"/>
      <w:bookmarkStart w:id="625" w:name="Tc_pPqTYONuV02mw3XUk_ljRg_20_2"/>
      <w:bookmarkStart w:id="626" w:name="Tc_fzizvC_l4kyFqDQ1dnVrLg_20_0"/>
      <w:bookmarkStart w:id="627" w:name="Tc_-76dpgNZ2kydKiBgrJjHzg_19_0"/>
      <w:bookmarkStart w:id="628" w:name="Tc_IgjYjdIZf0u_znnuncEyYg_18_5"/>
      <w:bookmarkStart w:id="629" w:name="Tc_LU-9lCJzzEWP8PsVJfzcAA_18_2"/>
      <w:bookmarkStart w:id="630" w:name="Tc_Ufh-PME0DEGYr5ppGlnDbQ_18_0"/>
      <w:bookmarkStart w:id="631" w:name="Tc_7Iden3vZoE6l0J8TUBIuHA_17_5"/>
      <w:bookmarkStart w:id="632" w:name="Tc_3WTHnf6GgEGUCryGHV7Fsg_17_2"/>
      <w:bookmarkStart w:id="633" w:name="Tc_35y7z520DE2QWNUCWicWOA_17_0"/>
      <w:bookmarkStart w:id="634" w:name="Tc_geoXV91p2Ee7_ZXnSuyu8Q_16_0"/>
      <w:bookmarkStart w:id="635" w:name="Tc_f98SD2mPZk2mzUVAPTV-Ng_15_0"/>
      <w:bookmarkStart w:id="636" w:name="Tc_vzbktIOx00Gw_QLLRSaA5A_14_0"/>
      <w:bookmarkStart w:id="637" w:name="Tc_YSC4a_vB802wX_F9JitHxA_13_0"/>
      <w:bookmarkStart w:id="638" w:name="Tc_8_IaHzVigUmPIqqV_3UPdQ_12_0"/>
      <w:bookmarkStart w:id="639" w:name="Tc_206GB_9KT0OoaUrYk_y1AA_11_0"/>
      <w:bookmarkStart w:id="640" w:name="Tc_P_K0GmMWf0mzCM-giIouOQ_10_6"/>
      <w:bookmarkStart w:id="641" w:name="Tc_mUz6HxonD0usc9FUz41PLg_10_0"/>
      <w:bookmarkStart w:id="642" w:name="Tc_c_7N72Z67UyUTdnHLTenkA_9_0"/>
      <w:bookmarkStart w:id="643" w:name="Tc_OjSFBBqikUqMcN9gS_gUoA_8_0"/>
      <w:bookmarkStart w:id="644" w:name="Tc_-Obo3rOJ7EWHPZC1Z9UBAw_7_0"/>
      <w:bookmarkStart w:id="645" w:name="Tc_mZUajzwZH0KLrsY1bn2PaA_6_6"/>
      <w:bookmarkStart w:id="646" w:name="Tc_KDEva1NO6kam1LNqZ2JF9Q_6_0"/>
      <w:bookmarkStart w:id="647" w:name="Tc_FxPaFimslkCC3SBkDd6Wzw_5_0"/>
      <w:bookmarkStart w:id="648" w:name="Tc_VmTAerwtw0WNk1Iot4ONzA_4_5"/>
      <w:bookmarkStart w:id="649" w:name="Tc_yzcttlJOP0i2XhLvbQxBeA_4_2"/>
      <w:bookmarkStart w:id="650" w:name="Tc_37mEpB7c9k2S69dYlCNVMA_4_0"/>
      <w:bookmarkStart w:id="651" w:name="Tc_hlRK8tigZkOEr8l0HYlEqA_3_0"/>
      <w:bookmarkStart w:id="652" w:name="Tc_lJ1YZGegzk6tuOG_4NnFkg_2_5"/>
      <w:bookmarkStart w:id="653" w:name="Tc__g0ciEVoskqdO8N-Mp0Rhg_2_2"/>
      <w:bookmarkStart w:id="654" w:name="Tc_iOSrzwdqN06_FW3aNV_tgg_1_2"/>
      <w:bookmarkStart w:id="655" w:name="_4d30cecd_cbae_4238_be00_ff502d5a01ef"/>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tbl>
      <w:tblPr>
        <w:tblW w:w="8467" w:type="dxa"/>
        <w:jc w:val="left"/>
        <w:tblInd w:w="0" w:type="dxa"/>
        <w:tblLayout w:type="fixed"/>
        <w:tblCellMar>
          <w:top w:w="0" w:type="dxa"/>
          <w:left w:w="0" w:type="dxa"/>
          <w:bottom w:w="0" w:type="dxa"/>
          <w:right w:w="0" w:type="dxa"/>
        </w:tblCellMar>
      </w:tblPr>
      <w:tblGrid>
        <w:gridCol w:w="5356"/>
        <w:gridCol w:w="346"/>
        <w:gridCol w:w="196"/>
        <w:gridCol w:w="1036"/>
        <w:gridCol w:w="346"/>
        <w:gridCol w:w="196"/>
        <w:gridCol w:w="991"/>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401060" cy="175260"/>
                      <wp:effectExtent l="0" t="0" r="0" b="0"/>
                      <wp:wrapNone/>
                      <wp:docPr id="81" name="Frame81"/>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7860" cy="175260"/>
                      <wp:effectExtent l="0" t="0" r="0" b="0"/>
                      <wp:wrapNone/>
                      <wp:docPr id="84" name="Frame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29285" cy="175260"/>
                      <wp:effectExtent l="0" t="0" r="0" b="0"/>
                      <wp:wrapNone/>
                      <wp:docPr id="87" name="Frame8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5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in)/provided by operating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(3,034,877)</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2,455,000</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(44,610)</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short-term bank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9,646,105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7,722,100</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(12,135,200)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(7,714,815)</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loan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4,963,986</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long-term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(999,133)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(1,380,017)</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of Interest-free advances for operation from related parties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678,431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179,201</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Interest-free advances for operation to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(117,905)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(1,659,767)</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by/(used in)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2,036,285</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(2,853,298)</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244,495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121,564</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change in Cash and 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(798,707)</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(276,734)</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565,817</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end of the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2,171,492</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289,083</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632,467</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130,821</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358,215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334,689</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FLOW INFORMATION: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r>
      <w:tr>
        <w:trPr/>
        <w:tc>
          <w:tcPr>
            <w:tcW w:w="53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Listing expense paid by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159,158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3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obtained in exchange for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109,064</w:t>
            </w:r>
          </w:p>
        </w:tc>
      </w:tr>
    </w:tbl>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6" w:name="NOTESTOCONSOLIDATEDFINANCIALSTATEMENTS_1"/>
      <w:bookmarkStart w:id="657" w:name="_862104b5_8f76_486f_80e6_6156b74a0fe6"/>
      <w:bookmarkEnd w:id="656"/>
      <w:bookmarkEnd w:id="657"/>
      <w:r>
        <w:rPr>
          <w:rFonts w:ascii="Times New Roman;Times;serif" w:hAnsi="Times New Roman;Times;serif"/>
          <w:b/>
          <w:sz w:val="20"/>
        </w:rPr>
        <w:t>NOTES TO UNAUDITED INTERIM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 ORGANIZATION AND DESCRIPTION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Baird Medical Investment Holdings Limited (“PubCo”, “Baird Medical” or “the Company”) was incorporated as a private company under the laws of Cayman Island on June 16,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business activities of the Company and its subsidiaries are to engage in research and development, manufacture and sales of microwave ablation (“MWA”) and other medical devices. During the first half of fiscal year 2026, the Company successfully launched a new strategic business initiative: the out-licensing of its proprietary microwave ablation technology to qualified third-party licensees. The Company lawfully owns and maintains full intellectual property rights in its microwave ablation equipment and microwave ablation needles, including patents, technical know-how, product technical requirements, design documentation, software source code, and complete regulatory registration dossiers. These assets, which have received NMPA Class III medical device certification in the PRC, represent a mature and clinically validated technology platform with demonstrated safety and efficacy in the minimally invasive treatment of tumors, including thyroid nodules, liver cancer, lung cancer, and breast lumps.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658" w:name="Tc_rw1KUA4jj0aBfVQYccbL_g_8_10"/>
      <w:bookmarkStart w:id="659" w:name="Tc_VtpPHhQe00Ox3PcaHc9t6A_8_6"/>
      <w:bookmarkStart w:id="660" w:name="Tc_C8m2L4N8EUOp0Ypgc1SdNQ_8_4"/>
      <w:bookmarkStart w:id="661" w:name="Tc_Dk0PKhZRjEewDLTXE2R5wg_8_2"/>
      <w:bookmarkStart w:id="662" w:name="Tc_5HJBhcplLUy-ISY5fMu5CA_8_0"/>
      <w:bookmarkStart w:id="663" w:name="Tc_ae-1tRFA-keenIgx-jPQJA_7_10"/>
      <w:bookmarkStart w:id="664" w:name="Tc_56_9AajJx0auH0sWyLha2g_7_6"/>
      <w:bookmarkStart w:id="665" w:name="Tc_GfavKmBzqUixNeHu0FwLUA_7_4"/>
      <w:bookmarkStart w:id="666" w:name="Tc_HSqs6G5fiUmd3LKaIFuZNw_7_2"/>
      <w:bookmarkStart w:id="667" w:name="Tc_Hs0CjW-VmkmZlAn9FatBHg_7_0"/>
      <w:bookmarkStart w:id="668" w:name="Tc_wDGkJA1Pi0GFNMBb7I9LpQ_6_10"/>
      <w:bookmarkStart w:id="669" w:name="Tc_TXC1oB6JVk6CWln6zhwelQ_6_6"/>
      <w:bookmarkStart w:id="670" w:name="Tc_qv18dJILKkm2s6EHnhgX3Q_6_4"/>
      <w:bookmarkStart w:id="671" w:name="Tc_oEyO6W-ZoUy7BY336D7ZOA_6_2"/>
      <w:bookmarkStart w:id="672" w:name="Tc_BiT6f-dQ_kaL80cceJIhVg_6_0"/>
      <w:bookmarkStart w:id="673" w:name="Tc_t253qesg90OmuEPNDNO2EQ_5_10"/>
      <w:bookmarkStart w:id="674" w:name="Tc_dsFIGtNZ8Uu_yemgyQ6w3A_5_6"/>
      <w:bookmarkStart w:id="675" w:name="Tc_5mSZCEXemEyZF-isfoVctg_5_4"/>
      <w:bookmarkStart w:id="676" w:name="Tc_g7Nin2qeIEiQiHBwHpF44A_5_2"/>
      <w:bookmarkStart w:id="677" w:name="Tc_2w3C-Jp-qEmqo1vMtAr_qQ_5_0"/>
      <w:bookmarkStart w:id="678" w:name="Tc_YOVRTV95fUyLlSlDvXU7IA_4_10"/>
      <w:bookmarkStart w:id="679" w:name="Tc_ER-EtbuwPEiaIh-UCtRC_A_4_6"/>
      <w:bookmarkStart w:id="680" w:name="Tc_gTQiTskrRUaNPiMARvfbsg_4_4"/>
      <w:bookmarkStart w:id="681" w:name="Tc_VI1H7b040kaLlDPxrLCeTg_4_2"/>
      <w:bookmarkStart w:id="682" w:name="Tc_RPHfahKFsku9jIOZgPR_-w_4_0"/>
      <w:bookmarkStart w:id="683" w:name="Tc_HMjlOpxBbkCLF9JDkeHHjg_3_10"/>
      <w:bookmarkStart w:id="684" w:name="Tc_dDZ6rE1OaEav-5B2HYNeYw_3_6"/>
      <w:bookmarkStart w:id="685" w:name="Tc_iV2cpIOQPU6XuQJ9ekDRKw_3_4"/>
      <w:bookmarkStart w:id="686" w:name="Tc_JE1tFEgp20iBt-4n_SY40A_3_2"/>
      <w:bookmarkStart w:id="687" w:name="Tc_oSu4-x4GKESP-joD6vMSkA_3_0"/>
      <w:bookmarkStart w:id="688" w:name="Tc_oSvz3I5T50S-GLVC_fJwXA_2_10"/>
      <w:bookmarkStart w:id="689" w:name="Tc_5MjqJAzHVkGbN2pv41qBjA_2_6"/>
      <w:bookmarkStart w:id="690" w:name="Tc_Sc7D6F_HA0KvJym4wmFe0g_2_4"/>
      <w:bookmarkStart w:id="691" w:name="Tc_uwMoXyrA-keLv96b9foEgw_2_2"/>
      <w:bookmarkStart w:id="692" w:name="Tc_FEMeLpbUhEi1YztnfZ4JMA_2_0"/>
      <w:bookmarkStart w:id="693" w:name="_8a953453_bedc_472b_ba0e_1167a2e86fc3"/>
      <w:bookmarkStart w:id="694" w:name="Tc_SDhABIxML0qLXHmMkYbBSA_15_10"/>
      <w:bookmarkStart w:id="695" w:name="Tc_-g9oDJcO60Kgied38qDd2g_15_6"/>
      <w:bookmarkStart w:id="696" w:name="Tc_LbcsPmdiGkSrof_kA6isOQ_15_4"/>
      <w:bookmarkStart w:id="697" w:name="Tc_1KewAqtwqkOMWeyGUwp1QA_15_2"/>
      <w:bookmarkStart w:id="698" w:name="Tc_TkkSQU3kZ0mCl-nEpBA3YA_15_0"/>
      <w:bookmarkStart w:id="699" w:name="Tc_OwFmgJ4B9ECMSKGyO4I5_g_14_10"/>
      <w:bookmarkStart w:id="700" w:name="Tc_uXTsTGSfo0OXkwIiNlyy7A_14_6"/>
      <w:bookmarkStart w:id="701" w:name="Tc_w0sf8S2c30S2PMbcj1dtsQ_14_4"/>
      <w:bookmarkStart w:id="702" w:name="Tc_1iB8KxZRS0K34tnecuKP_Q_14_2"/>
      <w:bookmarkStart w:id="703" w:name="Tc_49-Zl02U_kKlezBaOsDy8A_14_0"/>
      <w:bookmarkStart w:id="704" w:name="Tc_cD1LLikCJ06U_rKqI_utxQ_13_10"/>
      <w:bookmarkStart w:id="705" w:name="Tc_HgyiGo-71E-bOke1bSGwZg_13_6"/>
      <w:bookmarkStart w:id="706" w:name="Tc_jYzC3vcTcEqQpJzEXbt4bQ_13_4"/>
      <w:bookmarkStart w:id="707" w:name="Tc_wkwHvJl_fkewzjHXOUhc_Q_13_2"/>
      <w:bookmarkStart w:id="708" w:name="Tc_8YRQ95Kb7EWoyjL1w3mOJQ_13_0"/>
      <w:bookmarkStart w:id="709" w:name="Tc_HAOIILvqEUGo15-tDO98Yg_12_10"/>
      <w:bookmarkStart w:id="710" w:name="Tc_CKnlHg-aG0unY-fyiLpj5A_12_6"/>
      <w:bookmarkStart w:id="711" w:name="Tc_ofn9yrxeEkOCyQzMqZsBKQ_12_4"/>
      <w:bookmarkStart w:id="712" w:name="Tc_AEkN2VH6fUe7IucNO_vEUg_12_2"/>
      <w:bookmarkStart w:id="713" w:name="Tc_Qg-NvrYAE0yJm9K00tlCQg_12_0"/>
      <w:bookmarkStart w:id="714" w:name="Tc_PCwF45hyNEi8pCvUjQnqoQ_11_10"/>
      <w:bookmarkStart w:id="715" w:name="Tc_rhuWEEND6UKI7Idq12A46w_11_6"/>
      <w:bookmarkStart w:id="716" w:name="Tc_Fa_PId2v-0WVJKAfxeFGKg_11_4"/>
      <w:bookmarkStart w:id="717" w:name="Tc_fuQctJDg6kiKRX08Cu9Qfw_11_2"/>
      <w:bookmarkStart w:id="718" w:name="Tc_JNh-xSqGOEStmlAO8LQKMg_11_0"/>
      <w:bookmarkStart w:id="719" w:name="Tc_zWJuaCZR-0CTwNXUiMV2kw_10_10"/>
      <w:bookmarkStart w:id="720" w:name="Tc_WgJNF1se8kGuF1SgbDk-5Q_10_6"/>
      <w:bookmarkStart w:id="721" w:name="Tc_NfA4qvdYkESxJkXx-sCbPg_10_4"/>
      <w:bookmarkStart w:id="722" w:name="Tc_bFfqHMJmFUKmenlJdPYdgw_10_2"/>
      <w:bookmarkStart w:id="723" w:name="Tc_dmrMwVubzk-MMXwWFxt8DA_10_0"/>
      <w:bookmarkStart w:id="724" w:name="Tc_NI5zM1Fp9kKcOxX7jNnAXw_9_10"/>
      <w:bookmarkStart w:id="725" w:name="Tc_ODv5JZExXE-MrsXJIqnlSw_9_6"/>
      <w:bookmarkStart w:id="726" w:name="Tc_zzGQTjHaq06aUZADHB9sBw_9_4"/>
      <w:bookmarkStart w:id="727" w:name="Tc_HfC5AdOviEKoeRp3fudmhw_9_2"/>
      <w:bookmarkStart w:id="728" w:name="Tc_yOalhpA2AEG2wJI9RkAGWQ_9_0"/>
      <w:bookmarkStart w:id="729" w:name="Tc_OMBz6EDOkkyq-YvWJ3RJHw_8_10"/>
      <w:bookmarkStart w:id="730" w:name="Tc_yWrRbEZuE0iZ8FkRv3ghKA_8_6"/>
      <w:bookmarkStart w:id="731" w:name="Tc_Fh40jUgJokOz9FCzquT0-A_8_4"/>
      <w:bookmarkStart w:id="732" w:name="Tc_5dDktSd4Y0S3jDcUzEGEbg_8_2"/>
      <w:bookmarkStart w:id="733" w:name="Tc_64veM_vBWEaMuVhOBMk2Bg_8_0"/>
      <w:bookmarkStart w:id="734" w:name="Tc_YtV2T94ImEO4JqA-cEZTNw_7_10"/>
      <w:bookmarkStart w:id="735" w:name="Tc_7V_m04q8IU6OTrW3-_5p2Q_7_6"/>
      <w:bookmarkStart w:id="736" w:name="Tc_bXJJ2Cts2Einx67bS-e8mw_7_4"/>
      <w:bookmarkStart w:id="737" w:name="Tc_vs0N9u-oO0yDSEP0bo0g9Q_7_2"/>
      <w:bookmarkStart w:id="738" w:name="Tc_FkmjCS-ll0qrmNxQhhFFEQ_7_0"/>
      <w:bookmarkStart w:id="739" w:name="Tc_wntW48q4TEiUy40Ek99DvA_6_10"/>
      <w:bookmarkStart w:id="740" w:name="Tc_NrsPd4DZIE6FWHWCIUAmvg_6_6"/>
      <w:bookmarkStart w:id="741" w:name="Tc_3ijU65jie0eGHPbPtvXnwg_6_4"/>
      <w:bookmarkStart w:id="742" w:name="Tc_vqUAL0OctEaT7d-pNCNw-w_6_2"/>
      <w:bookmarkStart w:id="743" w:name="Tc_fuiX_qmxy0C2BWMZvI5WgQ_6_0"/>
      <w:bookmarkStart w:id="744" w:name="Tc_SH16jsIHNEOw8TRHD7zl1w_5_10"/>
      <w:bookmarkStart w:id="745" w:name="Tc_ihFjozkdMEKwM9STlGY98Q_5_6"/>
      <w:bookmarkStart w:id="746" w:name="Tc_5E8hLqlAwEutQHfK5Z-jEA_5_4"/>
      <w:bookmarkStart w:id="747" w:name="Tc_iK9Z0DKxsk20HdZ75qqZZA_5_2"/>
      <w:bookmarkStart w:id="748" w:name="Tc_BfWB6xblNE2pAOMn-8m4dQ_5_0"/>
      <w:bookmarkStart w:id="749" w:name="Tc_Qn-Kvln3V0-fkbQtcQVWFg_4_10"/>
      <w:bookmarkStart w:id="750" w:name="Tc_hEsPq8cPn0SzXyVCFIbVtg_4_6"/>
      <w:bookmarkStart w:id="751" w:name="Tc_Oevyqa5jjUC0FACsFAVwsQ_4_4"/>
      <w:bookmarkStart w:id="752" w:name="Tc_4NldrCr9ZUCtadsAnKxzJw_4_2"/>
      <w:bookmarkStart w:id="753" w:name="Tc_Z69uyrydCE-eJQU1lhHFKQ_4_0"/>
      <w:bookmarkStart w:id="754" w:name="Tc_S0eR0Le8L0yKnAnp6yfzyA_3_10"/>
      <w:bookmarkStart w:id="755" w:name="Tc_jBTm3-dEz0u-AQ7MLZf5kA_3_6"/>
      <w:bookmarkStart w:id="756" w:name="Tc_rcgwv0Ve1U-Fud_ripD1lg_3_4"/>
      <w:bookmarkStart w:id="757" w:name="Tc_xsct2Gr-oU6GRaA2y364NQ_3_2"/>
      <w:bookmarkStart w:id="758" w:name="Tc_kawIai97-0yc12z8ykQU6A_3_0"/>
      <w:bookmarkStart w:id="759" w:name="Tc__sVJRuRL40OaOPcoU93fvg_2_10"/>
      <w:bookmarkStart w:id="760" w:name="Tc_EXcf0OD-pUW8mgxgGliimA_2_6"/>
      <w:bookmarkStart w:id="761" w:name="Tc_CiPBTtn0YUapXIUjbiBI3Q_2_4"/>
      <w:bookmarkStart w:id="762" w:name="Tc_By6zRjLOrEKqYUyo_yDm5w_2_2"/>
      <w:bookmarkStart w:id="763" w:name="Tc_7AKUnYaqnkq66TRomAz9Jg_2_0"/>
      <w:bookmarkStart w:id="764" w:name="Tc_d1KkuxJSlk-hdumbAQl8Tw_1_10"/>
      <w:bookmarkStart w:id="765" w:name="Tc_T5-DAlXgZkCw3kbfDWNpJA_1_6"/>
      <w:bookmarkStart w:id="766" w:name="Tc_p1mr-ACE_0uoMNTqeVIq3w_1_4"/>
      <w:bookmarkStart w:id="767" w:name="Tc_dd9hae6tu0-VggKXyPiJbA_1_2"/>
      <w:bookmarkStart w:id="768" w:name="Tc_2cSJ8-5yQ0qtxU2zycRH0A_1_0"/>
      <w:bookmarkStart w:id="769" w:name="Tc_awS-mnT29Ui-K4VRJ95_kg_0_10"/>
      <w:bookmarkStart w:id="770" w:name="Tc_zuGO9_fdrUKEZBos3PxNCQ_0_8"/>
      <w:bookmarkStart w:id="771" w:name="Tc_z9jzO_ytaUKTfl3uUQBWag_0_6"/>
      <w:bookmarkStart w:id="772" w:name="Tc_0fstLwgPEEixr4x4e_92Qw_0_4"/>
      <w:bookmarkStart w:id="773" w:name="Tc_JjrYM1A2YUu6-GIoPeyDhQ_0_2"/>
      <w:bookmarkStart w:id="774" w:name="Tc_sC8bg6_aI0GMe5f-OFipcg_0_0"/>
      <w:bookmarkStart w:id="775" w:name="_36a20807_20bc_4be7_bb7f_fbdbde6f3f3d"/>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sz w:val="20"/>
        </w:rPr>
        <w:t>As at the date of this report, the Company has direct and indirect interests in the following subsidiaries: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2844"/>
        <w:gridCol w:w="346"/>
        <w:gridCol w:w="1171"/>
        <w:gridCol w:w="346"/>
        <w:gridCol w:w="1126"/>
        <w:gridCol w:w="346"/>
        <w:gridCol w:w="1082"/>
        <w:gridCol w:w="346"/>
        <w:gridCol w:w="886"/>
        <w:gridCol w:w="346"/>
        <w:gridCol w:w="1210"/>
        <w:gridCol w:w="156"/>
      </w:tblGrid>
      <w:tr>
        <w:trPr/>
        <w:tc>
          <w:tcPr>
            <w:tcW w:w="284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bottom w:val="single" w:sz="2" w:space="0" w:color="FFFFFF"/>
            </w:tcBorders>
            <w:vAlign w:val="center"/>
          </w:tcPr>
          <w:p>
            <w:pPr>
              <w:pStyle w:val="TableContents"/>
              <w:bidi w:val="0"/>
              <w:spacing w:before="0" w:after="0"/>
              <w:ind w:left="0" w:right="0" w:hanging="0"/>
              <w:jc w:val="center"/>
              <w:rPr/>
            </w:pPr>
            <w:r>
              <w:rPr/>
              <w:t>  ​ ​ ​</w:t>
            </w:r>
          </w:p>
        </w:tc>
        <w:tc>
          <w:tcPr>
            <w:tcW w:w="11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of</w:t>
            </w:r>
            <w:r>
              <w:rPr>
                <w:rFonts w:ascii="Times New Roman;Times;serif" w:hAnsi="Times New Roman;Times;serif"/>
                <w:sz w:val="16"/>
              </w:rPr>
              <w:br/>
            </w:r>
            <w:r>
              <w:rPr>
                <w:rFonts w:ascii="Times New Roman;Times;serif" w:hAnsi="Times New Roman;Times;serif"/>
                <w:b/>
                <w:sz w:val="16"/>
              </w:rPr>
              <w:t>Incorporation/</w:t>
            </w:r>
            <w:r>
              <w:rPr>
                <w:rFonts w:ascii="Times New Roman;Times;serif" w:hAnsi="Times New Roman;Times;serif"/>
                <w:sz w:val="16"/>
              </w:rPr>
              <w:br/>
            </w:r>
            <w:r>
              <w:rPr>
                <w:rFonts w:ascii="Times New Roman;Times;serif" w:hAnsi="Times New Roman;Times;serif"/>
                <w:b/>
                <w:sz w:val="16"/>
              </w:rPr>
              <w:t>Acquisition</w:t>
            </w:r>
          </w:p>
        </w:tc>
        <w:tc>
          <w:tcPr>
            <w:tcW w:w="346" w:type="dxa"/>
            <w:tcBorders>
              <w:bottom w:val="single" w:sz="2" w:space="0" w:color="FFFFFF"/>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Place of</w:t>
            </w:r>
            <w:r>
              <w:rPr>
                <w:rFonts w:ascii="Times New Roman;Times;serif" w:hAnsi="Times New Roman;Times;serif"/>
                <w:sz w:val="16"/>
              </w:rPr>
              <w:br/>
            </w:r>
            <w:r>
              <w:rPr>
                <w:rFonts w:ascii="Times New Roman;Times;serif" w:hAnsi="Times New Roman;Times;serif"/>
                <w:b/>
                <w:sz w:val="16"/>
              </w:rPr>
              <w:t>Incorporation</w:t>
            </w:r>
          </w:p>
        </w:tc>
        <w:tc>
          <w:tcPr>
            <w:tcW w:w="346" w:type="dxa"/>
            <w:tcBorders>
              <w:bottom w:val="single" w:sz="2" w:space="0" w:color="FFFFFF"/>
            </w:tcBorders>
            <w:vAlign w:val="center"/>
          </w:tcPr>
          <w:p>
            <w:pPr>
              <w:pStyle w:val="TableContents"/>
              <w:bidi w:val="0"/>
              <w:spacing w:before="0" w:after="0"/>
              <w:ind w:left="0" w:right="0" w:hanging="0"/>
              <w:jc w:val="center"/>
              <w:rPr/>
            </w:pPr>
            <w:r>
              <w:rPr/>
              <w:t>  ​ ​ ​</w:t>
            </w:r>
          </w:p>
        </w:tc>
        <w:tc>
          <w:tcPr>
            <w:tcW w:w="108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bottom w:val="single" w:sz="2" w:space="0" w:color="FFFFFF"/>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w:t>
            </w:r>
            <w:r>
              <w:rPr>
                <w:rFonts w:ascii="Times New Roman;Times;serif" w:hAnsi="Times New Roman;Times;serif"/>
                <w:sz w:val="16"/>
              </w:rPr>
              <w:br/>
            </w:r>
            <w:r>
              <w:rPr>
                <w:rFonts w:ascii="Times New Roman;Times;serif" w:hAnsi="Times New Roman;Times;serif"/>
                <w:b/>
                <w:sz w:val="16"/>
              </w:rPr>
              <w:t>Equity</w:t>
            </w:r>
            <w:r>
              <w:rPr>
                <w:rFonts w:ascii="Times New Roman;Times;serif" w:hAnsi="Times New Roman;Times;serif"/>
                <w:sz w:val="16"/>
              </w:rPr>
              <w:br/>
            </w:r>
            <w:r>
              <w:rPr>
                <w:rFonts w:ascii="Times New Roman;Times;serif" w:hAnsi="Times New Roman;Times;serif"/>
                <w:b/>
                <w:sz w:val="16"/>
              </w:rPr>
              <w:t>Ownership</w:t>
            </w:r>
          </w:p>
        </w:tc>
        <w:tc>
          <w:tcPr>
            <w:tcW w:w="346" w:type="dxa"/>
            <w:tcBorders>
              <w:bottom w:val="single" w:sz="2" w:space="0" w:color="FFFFFF"/>
            </w:tcBorders>
            <w:vAlign w:val="center"/>
          </w:tcPr>
          <w:p>
            <w:pPr>
              <w:pStyle w:val="TableContents"/>
              <w:bidi w:val="0"/>
              <w:spacing w:before="0" w:after="0"/>
              <w:ind w:left="0" w:right="0" w:hanging="0"/>
              <w:jc w:val="center"/>
              <w:rPr/>
            </w:pPr>
            <w:r>
              <w:rPr/>
              <w:t>  ​ ​ ​</w:t>
            </w:r>
          </w:p>
        </w:tc>
        <w:tc>
          <w:tcPr>
            <w:tcW w:w="1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Principal</w:t>
            </w:r>
            <w:r>
              <w:rPr>
                <w:rFonts w:ascii="Times New Roman;Times;serif" w:hAnsi="Times New Roman;Times;serif"/>
                <w:sz w:val="16"/>
              </w:rPr>
              <w:br/>
            </w:r>
            <w:r>
              <w:rPr>
                <w:rFonts w:ascii="Times New Roman;Times;serif" w:hAnsi="Times New Roman;Times;serif"/>
                <w:b/>
                <w:sz w:val="16"/>
              </w:rPr>
              <w:t>Activities</w:t>
            </w:r>
          </w:p>
        </w:tc>
        <w:tc>
          <w:tcPr>
            <w:tcW w:w="156"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Betters Medical NewCo, LLC (“NewCo”)</w:t>
            </w:r>
          </w:p>
        </w:tc>
        <w:tc>
          <w:tcPr>
            <w:tcW w:w="346" w:type="dxa"/>
            <w:tcBorders>
              <w:top w:val="single" w:sz="2" w:space="0" w:color="FFFFFF"/>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17, 2024</w:t>
              <w:br/>
              <w:t xml:space="preserve">/ October 1, </w:t>
              <w:br/>
              <w:t>2024</w:t>
            </w:r>
          </w:p>
        </w:tc>
        <w:tc>
          <w:tcPr>
            <w:tcW w:w="346" w:type="dxa"/>
            <w:tcBorders>
              <w:top w:val="single" w:sz="2" w:space="0" w:color="FFFFFF"/>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top w:val="single" w:sz="2" w:space="0" w:color="FFFFFF"/>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top w:val="single" w:sz="2" w:space="0" w:color="FFFFFF"/>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top w:val="single" w:sz="2" w:space="0" w:color="FFFFFF"/>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top w:val="single" w:sz="2" w:space="0" w:color="FFFFFF"/>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ExcelFin Acquisition Corp. (“SPAC” or “ExcelFin”)</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15,</w:t>
              <w:br/>
              <w:t>2021 /</w:t>
              <w:br/>
              <w:t>October 1,</w:t>
              <w:br/>
              <w:t>2024</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tcMar>
              <w:bottom w:w="0" w:type="dxa"/>
            </w:tcMar>
            <w:vAlign w:val="center"/>
          </w:tcPr>
          <w:p>
            <w:pPr>
              <w:pStyle w:val="TableContents"/>
              <w:bidi w:val="0"/>
              <w:spacing w:before="0" w:after="0"/>
              <w:ind w:left="0" w:right="0" w:hanging="0"/>
              <w:jc w:val="center"/>
              <w:rPr/>
            </w:pPr>
            <w:r>
              <w:rPr/>
              <w:t>​</w:t>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Baird Medical LLC</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November 29, </w:t>
              <w:br/>
              <w:t>2023</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Tycoon Choice Global Limited (“Tycoon”)</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8,</w:t>
              <w:br/>
              <w:t>2021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BVI</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Medical Investment Company Limited (“Baide HK”)</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29,</w:t>
              <w:br/>
              <w:t>2021</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Hong Kong</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Tycoon</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(Guangdong) Capital Management Company Limited (“Baide Capital”)</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March 3, </w:t>
              <w:br/>
              <w:t>2021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HK</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 and</w:t>
              <w:br/>
              <w:t>investment holding</w:t>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Dedao Capital Management Company Limited (“Dedao”)</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March 4, </w:t>
              <w:br/>
              <w:t>2021</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Baihui Corporate Management Company Limited (“Baihui”)</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4,</w:t>
              <w:br/>
              <w:t>2020</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Zhengde Corporate Management Company Limited</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4,</w:t>
              <w:br/>
              <w:t>2020</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Yide Capital Management Company Limited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10,</w:t>
              <w:br/>
              <w:t>2020</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(Suzhou) Medical Company Limited (“Baide Suzhou”)</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June 5, </w:t>
              <w:br/>
              <w:t>2012</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Zhengde Yide,</w:t>
              <w:br/>
              <w:t>and Baihui</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Research and</w:t>
              <w:br/>
              <w:t>development, sales</w:t>
              <w:br/>
              <w:t>of MWA and other</w:t>
              <w:br/>
              <w:t>medical devices and</w:t>
              <w:br/>
              <w:t>investment holding</w:t>
            </w:r>
          </w:p>
        </w:tc>
        <w:tc>
          <w:tcPr>
            <w:tcW w:w="15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Henan Ruide Medical Instrument Company Limited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July 6, </w:t>
              <w:br/>
              <w:t>2018</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 and</w:t>
              <w:br/>
              <w:t>other medical</w:t>
              <w:br/>
              <w:t>devices</w:t>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Nanjing Changcheng Medical Equipment Company Limited (“Nanjing Changcheng”)</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28,</w:t>
              <w:br/>
              <w:t>2016</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Research and</w:t>
              <w:br/>
              <w:t>development,</w:t>
              <w:br/>
              <w:t>manufacture and</w:t>
              <w:br/>
              <w:t>sales of MWA and</w:t>
              <w:br/>
              <w:t>other medical</w:t>
              <w:br/>
              <w:t>devices</w:t>
            </w:r>
          </w:p>
        </w:tc>
        <w:tc>
          <w:tcPr>
            <w:tcW w:w="15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Guizhou Baiyuan Medical Company Limited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September 21, </w:t>
              <w:br/>
              <w:t>2017</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other</w:t>
              <w:br/>
              <w:t>medical devices</w:t>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44"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Guoke Baide (Guangdong) Medical Company Limited (“Guoke Baide”)</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July 5, </w:t>
              <w:br/>
              <w:t>2019</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08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2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206"/>
        <w:gridCol w:w="109"/>
        <w:gridCol w:w="1111"/>
        <w:gridCol w:w="109"/>
        <w:gridCol w:w="653"/>
        <w:gridCol w:w="109"/>
        <w:gridCol w:w="972"/>
        <w:gridCol w:w="109"/>
        <w:gridCol w:w="481"/>
        <w:gridCol w:w="109"/>
        <w:gridCol w:w="1081"/>
        <w:gridCol w:w="15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20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Nanjing Baide Micro Medical Technology Co., Ltd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26,</w:t>
              <w:br/>
              <w:t>2019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Ruikeen Biological Technology (Guangzhou) Company Limited (“Ruikeen Guangzhou”)</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17, 2019</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Fangda Medical Technology Company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22,</w:t>
              <w:br/>
              <w:t>2022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Junde (Guangzhou) Medical Technology Company Limited</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14,</w:t>
              <w:br/>
              <w:t>2022</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Guoke Baide</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Shengde (Guangzhou) Medical Technology Company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29,</w:t>
              <w:br/>
              <w:t>2022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5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Suzhou Kangchuang Medical Company Limited</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6,</w:t>
              <w:br/>
              <w:t>2022</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Hainan Haike Baide Medical Company Limited</w:t>
            </w:r>
          </w:p>
        </w:tc>
        <w:tc>
          <w:tcPr>
            <w:tcW w:w="109"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4,2024</w:t>
            </w:r>
          </w:p>
        </w:tc>
        <w:tc>
          <w:tcPr>
            <w:tcW w:w="109" w:type="dxa"/>
            <w:tcBorders/>
            <w:vAlign w:val="center"/>
          </w:tcPr>
          <w:p>
            <w:pPr>
              <w:pStyle w:val="TableContents"/>
              <w:bidi w:val="0"/>
              <w:spacing w:before="0" w:after="0"/>
              <w:ind w:left="0" w:right="0" w:hanging="0"/>
              <w:jc w:val="center"/>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109"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109"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109"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i/>
          <w:sz w:val="20"/>
        </w:rPr>
        <w:t>Note</w:t>
      </w:r>
      <w:r>
        <w:rPr>
          <w:rFonts w:eastAsia="MS Mincho"/>
          <w:i/>
          <w:sz w:val="20"/>
        </w:rPr>
        <w:t>：</w:t>
      </w:r>
      <w:r>
        <w:rPr>
          <w:rFonts w:ascii="Times New Roman;Times;serif" w:hAnsi="Times New Roman;Times;serif"/>
          <w:i/>
          <w:sz w:val="20"/>
        </w:rPr>
        <w:t>Guizhou Baiyuan Medical Company Limited and Suzhou Kangchuang Medical Company Limited completed the liquidation procedures in the first half of 2025.</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prepares its consolidated financial statements in conformity with accounting principles generally accepted in the United States of America (“U.S. GAAP”) and to the rules and regulations of the Securities and Exchange Commission (“SEC”), which requires the Company to make judgments, estimates and assumptions that affect reported amount of assets, liabilities, revenue, costs and expenses, and any related disclosures. Although there was no material changes made to the accounting estimates and assumptions in the past three years, the Company continually evaluates these estimates and assumptions based on the most recently available information, the Company’s own historical experience and various other assumptions that the Company believes to be reasonable under the circumstances. Since the use of estimates is an integral component of the financial reporting process, actual results could differ from expectations as a result of changes in the Company’s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believes that the following accounting policies involve a higher degree of judgment and complexity in their application and require us to make significant accounting estimates. Accordingly, these are the policies the Company believe are the most critical to understanding and evaluating the Company’s consolidated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 and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unaudited condensed consolidated financial statements for the six months ended June 30, 2026 have been prepared in accordance with generally accepted accounting principles in the United States of America (“GAAP”) and pursuant to the rules and regulations of the Securities and Exchange Commission pertaining to interim financial statements. Accordingly, they do not include all of the information and footnotes required by GAAP for complete financial statements and should be read in conjunction with the audited consolidated financial statements and notes thereto included in the Company’s Annual Report on Form 20-F for the year ended December 31, 2025, filed with the SEC on April 24, 2025, as amended by Amendment No. 1 on Form 20-F/A filed with the SEC on July 27, 2026, from which the accompanying condensed consolidated balance sheet at December 31, 2025 was derived. In the opinion of management, all adjustments considered necessary for a fair presentation of the interim financial information have been included and are of a normal recurring nature.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the Company and its subsidiaries. Inter-company transactions and balances between group companies together with unrealized profits arising from inter-company transactions are eliminated in full in preparing the consolidated financial statements. Unrealized losses resulting from inter-company transactions are also eliminated unless the transaction provides evidence of impairment on the asset transferred, in which case the loss is recognized in consolidated profit or loss.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Going Concern Assessment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 had cash of US$0.1 million and restricted cash of US$0.2 million. The Company had positive working capital as of both December 31, 2025 and June 30, 2026. Working capital was US$22.6 million and US$10.2 million as of December 31, 2025 and June 30, 2026,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recorded a net income of US$13,499 for the six months ended June 30, 2026. The Company recorded a net loss of US$11.4 million for the six months ended June 30, 2025, including net loss attributable to controlling shareholders of US$11.3 million.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cash used in operating activities were US$3.0 million and net cash generated from operating activities of US$2.5 million for the six months ended June 30, 2025 and 2026,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the Company has relied principally on both operational sources of cash and non-operational sources of financing from banks or investors to fund its operations and business development. It’s ability to continue as a going concern is dependent on management’s ability to successfully execute its business plan which includes reducing the fixed labor cost, pursuing cooperation opportunities and potential financing to improve its cash flow from operations and financing. To alleviate short-term liquidity pressure and demonstrate commitment to our financial stability, Betters Medical Investment Holdings Limited, the related party of the Company, together with Haimei Wu, the Chairwoman of the Board of Directors and Chief Executive Officer of the Company, provided it with an executed letter of continuing financial support. Haimei Wu is able to provide financial support of US$2.0 million, supported by properties owned by Ms. Wu, as necessary to enable it to meet its obligations as they become due for a period of at least twelve months from the date the financial statements are issued. Betters Medical Investment Holdings Limited confirmed that payables due to it will not be required to be repaid within the next twelve months from the date the financial statements are issued. The Company considered this financial support and non-demand confirmation in assessing its liquidity and its ability to meet obligations as they become due.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2026, the Company is offering, through the prospectus supplement and the accompanying prospectus filed on September 24, 2026, (i) US$4,347,826 senior 8% original issue discount convertible promissory Note (the “Note”), (ii) ordinary shares, par value US$0.0001 per share, issuable from time to time upon conversion under the Note, and (iii) up to additional 110,070 ordinary shares as additional shares for the issuance of the Note. The Note carry an 8% original issue discount, and have a term of 12 months from the issuance date. No interest accrues during the term of the Note unless an event of default occurs, in which case interest will accrue at a rate of 15% per annum or, if less, the highest amount permitted by law. The Company received approximately US$4 million in financing proceeds on September 8,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factors including its cash and restricted cash position, positive working capital, the nature of the Company recorded a net income for the six months ended June 30, 2026, a significant turnaround from the substantial net loss recorded in the same period of 2025, improvement in operating cash flows, historical debt renewals and refinancing activities, continuing financial support from Haimei Wu, the non-demand confirmation from Betters Medical Investment Holdings Limited, and expected profitability drivers, management concluded that there was no substantial doubt about the our ability to continue as a going concern within one year after the issuance date of the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useful lives of property and equipment, impairment of long-lived assets, allowance for credit losses, fair value of share-based compensation, the estimate of refunded liability, the classification of current and non-current accounts receivable, realizability of deferred tax assets, inventory allowance, and prepayment for R&amp;D. Actual results could differ from those estimates, and as such, differences may be material to the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Functional currency and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reporting currency is the United States dollar (“US$”). The Company’s operations are principally conducted through the PRC subsidiaries where the local currency is the functional currency. Assets and liabilities are translated at the unified exchange rate as quoted by the Federal Reserve at the end of the period. The statement of operations accounts is translated at the average translation rates and the equity accounts are translated at historical rates. Translation adjustments resulting from this process are included in accumulated other comprehensive income (loss). Transaction gains and losses that arise from exchange rate fluctuations on transactions denominated in a currency other than the functional currency are included in the results of operations as incurred.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Translation adjustments included in accumulated other comprehensive loss amounted to $1.4 million and $0.3 million as of December 31, 2025 and June 30, 2026, respectively. The balance sheet amounts, with the exception of shareholders’ equity as of December 31, 2025 and June 30, 2026 were translated at RMB 6.9931 and RMB 6.7851 to $1.00, respectively. The shareholders’ equity accounts were stated at their historical rate. The average translation rates applied to statement of operations accounts for the six months ended June 30, 2025 and 2026 were RMB7.2526 and RMB 6.8624 to $1.00, respectively. Cash flows are also translated at average translation rates for the periods, therefore, amounts reported on the statement of cash flows will not necessarily agree with changes in the corresponding balances on the consolidated balance sheets.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include cash in bank placed with banks, which have original maturities of three months or less at the time of purchase and are readily convertible to known amounts of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 had total cash and restricted cash of $0.29 million (including $0.15 million of restricted cash). This $0.15 million restricted cash balance related to an investment deposit received by the Company from a potential investor during the fiscal year ended December 31, 2025. In the first half of 2026, as the parties were unable to reach a definitive agreement on the equity investment, the potential investor initiated legal proceedings against the Company seeking the return of the investment deposit. In July 2026, the Company fully repaid the investment deposit, and the cash freeze was subsequently lifted effective July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cash of US$0.2 million and restricted cash of US$0.4 million. Due to an employee oversight in 2021, the Company failed to timely renew its manufacturing license, resulting in a two-month gap between license cancellation and receipt of a new license. In November 2024, the Company was assessed an administrative penalty totaling about $0.6 million, representing confiscation of sales revenue during the gap period plus fines. As a result, US$0.4 million of the Company’s cash was restricted as of December 31, 2025 due to the remaining unpaid penalty. The Company paid the full remaining penalty in January 2026, and the cash freeze was subsequently lifted effective January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Technology licensing business was developed and launched by the Company during the first half of fiscal year 2026 as a new business initiative. The Company entered into licensing agreements under which it licenses its intellectual property such as proprietary microwave ablation technology know</w:t>
        <w:noBreakHyphen/>
        <w:t>how and source code to third parties in exchange for licensing revenue.</w:t>
      </w:r>
    </w:p>
    <w:p>
      <w:pPr>
        <w:pStyle w:val="TextBody"/>
        <w:bidi w:val="0"/>
        <w:spacing w:before="0" w:after="240"/>
        <w:ind w:left="0" w:right="0" w:firstLine="360"/>
        <w:jc w:val="both"/>
        <w:rPr/>
      </w:pPr>
      <w:r>
        <w:rPr/>
        <w:t>“</w:t>
      </w:r>
      <w:r>
        <w:rPr>
          <w:rFonts w:ascii="Times New Roman;Times;serif" w:hAnsi="Times New Roman;Times;serif"/>
          <w:sz w:val="20"/>
        </w:rPr>
        <w:t>Intellectual property” or “IP”, refers collectively to the licensed technology under the license agreements, including but not limited to: patents, technical know-how, product design and engineering drawings, operating manuals, and other core technical secrets.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six months ended June 30, 2025, the Company’s revenue is primarily derived from sales of medical devices. In the six months ended June 30, 2026, the Company’s revenue is primarily derived from sales of medical devices and technology licensing.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sales of medical devices, customers obtain control of goods when either the goods are delivered to the customer or picked up by the customer and such customer has accepted the goods. Revenue is thus recognized at the point in time when the customers have accepted the goods.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technology licensing transactions, control of the licensed technologies is transferred from the Company to the customers when the licensed technologies are delivered and have been accepted by the customers. Since the Company’s licensed technology is functional IP, revenue is thus recognized upon when the customer accepted and signed the List of Technical Deliverables.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Principal versus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another party is involved in providing goods or services to a customer, the Company determines whether the nature of its promise is a performance obligation to provide the specified goods or services itself (i.e. the Company is a principal) or to arrange for those goods or services to be provided by the other party (i.e. the Company is an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 principal if it controls the specified good or service before that good or service is transferred to a customer.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agent if its performance obligation is to arrange for the provision of the specified good or service by another party. In this case, the Company does not control the specified good or service provided by another party before that good or service is transferred to the customer. When the Company acts as an agent, it recognizes revenue in the amount of any fee or commission to which it expects to be entitled in exchange for arranging for the specified goods or services to be provided by the other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hospitals (i.e. directly or through deliverers) and distributors as the Company controls the medical devices before that they are transferred to customers, and accordingly recognizes the revenue which the Company expects to be entitled from the sales of goods to its end-customers.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technology licensing transactions as the Company has control over the licensed technology before that they are transferred to customers, and accordingly recognizes the revenue which the Company expects to be entitled from licensing transactions with its end-customers.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Revenue from technology licensing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Technology licensing transactions developed and launched by the Company during the first half of fiscal year 2026. The Company owns and maintains full intellectual property rights in its microwave ablation equipment and microwave ablation needles, including patents, technical know-how, product technical requirements, design documentation, software source code, and complete regulatory registration dossiers. These assets, which have received NMPA Class III medical device certification in the PRC, represent a mature and clinically validated technology platform with demonstrated safety and efficacy in the minimally invasive treatment of tumors, including thyroid nodules, liver cancer, lung cancer, and breast lumps. Under the agreements with customers, it grant each licensee right to use the licensed technology in specified territories outside the PRC (including Europe, Brazil, the UK, or other defined regions), in exchange for consideration of licensing fees. The Company have granted 365-day credit terms to the licensees. The license is granted on an annual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acts as a principal in the technology licensing transactions. The Company obtains control of the intellectual property prior to licensing it to external customers. The Company bears primary performance responsibility to customers, bears performance and quality risks, and has independent pricing discretion.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technology of the Company has already received NMPA Class III medical device registration certificates in China and is immediately ready for manufacturing and commercialization without further development, the Company’s core promise is to grant a license to use the existing intellectual property, indicating the license is “functional” and “complete” at the point of delivery.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the Company’s licensed technology has significant stand-alone functionality at inception, it is functional IP. In accordance with ASC 606-10-55-62, revenue is recognized at a point in time. Revenue is thus recognized upon when the customer accepted and signed the List of Technical Deliverables.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presents the revenue generated from its technology licensing transactions on a gross basis as the Company is a principal.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Revenue from sales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medical devices though two channels, which is directly or through deliverers to hospitals, and through distributors to the end customers. Various sources of revenue of the Company is recognized on the following bases:</w:t>
      </w:r>
    </w:p>
    <w:tbl>
      <w:tblPr>
        <w:tblW w:w="3062" w:type="dxa"/>
        <w:jc w:val="left"/>
        <w:tblInd w:w="0" w:type="dxa"/>
        <w:tblLayout w:type="fixed"/>
        <w:tblCellMar>
          <w:top w:w="0" w:type="dxa"/>
          <w:left w:w="0" w:type="dxa"/>
          <w:bottom w:w="0" w:type="dxa"/>
          <w:right w:w="0" w:type="dxa"/>
        </w:tblCellMar>
      </w:tblPr>
      <w:tblGrid>
        <w:gridCol w:w="346"/>
        <w:gridCol w:w="271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2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to hospitals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hospitals (i.e., directly or through deliverers) as the Company controls the medical devices before they are transferred to end-customers (i.e., hospitals).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indicators that demonstrate the Company’s control over the products include: (i) it is the Company’s responsibility to fulfill the promise of providing products to the hospitals through deliverers, in which the deliverers are just acting on the Company’s behalf. The deliverers bear no rights and obligations on the medical devices and the deliverers do not take any responsibility on the product damage before and after the products are delivered to the hospital’s designated premises and accepted by the hospital; (ii) the Company, instead of the deliverers, are subject to the inventory risk given that the deliverers are prohibited from delivering products to end-customers other than the designated hospitals (as designated through the authorization letter); and (iii) the selling prices of products are predetermined by the Company at tender price. The deliverers do not have pricing power and are only entitled to a specific service fee calculated as a fixed percentage of the relevant transaction of products which is a commission or fee basis. From the above indicators, the deliverers do not obtain control of the medical devices and thus the Company still retain control over the products before the products are delivered to the hospital’s designated premises and accepted by the hospital. Under such limitation, the deliverers do not act as the ‘principal’ in the sales through deliverer model and therefore the designated hospitals are not the ‘customer’ of the deliverer. In other words, the deliverers are instructed by the Company to transfer the medical devices to the designated hospital. As such, it is determined that the Company is the principal, and the deliverers are the agents. Since the Company remains the principal over the goods regardless of if the goods are delivered to the hospital directly by the Company or through the deliverers as agents, there is no significant difference between the two types of good delivery as to when risk or control is transferred to the customer and when revenue is recognized from sales to hospitals.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presents the revenue generated from its sales of products on a gross basis as the Company is a principal.</w:t>
      </w:r>
    </w:p>
    <w:tbl>
      <w:tblPr>
        <w:tblW w:w="3257" w:type="dxa"/>
        <w:jc w:val="left"/>
        <w:tblInd w:w="0" w:type="dxa"/>
        <w:tblLayout w:type="fixed"/>
        <w:tblCellMar>
          <w:top w:w="0" w:type="dxa"/>
          <w:left w:w="0" w:type="dxa"/>
          <w:bottom w:w="0" w:type="dxa"/>
          <w:right w:w="0" w:type="dxa"/>
        </w:tblCellMar>
      </w:tblPr>
      <w:tblGrid>
        <w:gridCol w:w="346"/>
        <w:gridCol w:w="2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to distributors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distributors as the Company controls the medical devices before they are transferred to distributors.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revenue is recognized at a point in time when the Company satisfies its performance obligation by transferring the promised product to its customers, the distributors, upon acceptance. The performance obligation is considered to be met and revenue is recognized when distributors obtain control of the goods or when risks and rewards are transferred to distributors which bear all inventory risks and revenue is recognized when the goods are accepted by the distributor.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did not recognize any revenue from contracts with customers for performance obligations satisfied over time during the six months ended June 30, 2025 and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transaction price is generally in the form of a fixed price which is agreed with the customer at contract inception. The transaction price is recorded net of any sales return, surcharges and value-added taxes on gross sales. Customers are required to pay over an agreed-upon credit period.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Return rights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Some of the Company’s contract with customers from the sales of goods provides customers a right of return (a right to exchange for the same product or to be refund in cash due to faulty products). For the six months ended June 30, 2025 and 2026, there is no significant sales return.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Value-added taxes and surcharges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presents revenue net of value-added taxes (“VAT”) and surcharges incurred. Surcharge are sales related taxes representing the City Maintenance and Construction Tax and Education Surtax. VAT and surcharges collected from customers, net of VAT paid for purchases, are recorded as a liability in the consolidated balance sheets until these are paid to the tax authorities.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Disaggregation of revenue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disaggregates its revenue by major products and customers, as the Company believes it best depicts the amount of its revenue and cash flows. See Note 15 to the segment reports.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Contract assets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contract asset is the right to consideration in exchange for goods or services transferred to the customer. If the Company performs by transferring goods or services to a customer before the customer pays consideration or before payment is due, a contract asset is recognized for the earned consideration that is conditional. The Company does not have contract assets for the periods presented.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contract liabilities represent consideration that the Company has received but has not satisfied the related performance obligations. Contract liabilities primarily relate to the payments received for products selling of medical devices in advance of revenue recognition. The increase in contract liabilities compared with the prior year was primarily due to an increase in advance consideration received from customers, reflecting higher prepayments and deposits for orders to be fulfilled after the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Substantially all of the Company’s medical device sales contracts have a duration of one year or less, and the majority of performance obligations under these contracts are satisfied within one year. With respect to the Company’s technology licensing contracts, although the overall contractual arrangements have a duration beyond one year, the license is granted on an annual basis, and revenue is recognized at a point in time when the licensee accepts and signs the technical deliverables. Accordingly, as of the balance sheet date, there are no material unsatisfied or partially unsatisfied performance obligations under these technology licensing contracts.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contract liabilities amounted to $0.8 million and $2.4 million as of December 31, 2025 and June 30, 2026, respectively. The revenue expected to be recognized on the remaining performance obligations of these contracts as of June 30, 2026 will be $2.4 million in the following 12 months.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Earnings per share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Basic earnings per share is computed using the weighted average number of common shares outstanding during the period. Diluted earnings per share is computed using the weighted average number of common shares and potential common shares outstanding during the period. For the six months ended June 30, 2025 and 2026, there were no dilutive shares.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ASC 280, Segment Reporting, establishes standards for companies to report in their financial statement information about operating segments, on a basis consistent with Company’s internal organizational structure as well as information about geographical areas, business segments and major customers in financial statements for details on the Company’s business segments.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Chief Executive Officer is the chief operating decision-maker (“CODM”) that uses net income/loss as the measure of segment profit or loss to evaluate the performance of the segment and to make decisions regarding the allocation of resources. The Company has determined that it operates in one operating segment and assesses the performance of the Company as a whole. The Company considered that its revenue is derived from the sale of MWA and other medical devices and, commencing in the first half of 2026, technology licensing, all of which arise from the Company’s underlying medical device technologies and related intellectual property and are sold or licensed to a similar customer base within the medical device industry. The technology licensing arrangements are integrated with, and complementary to, the Company’s overall commercialization strategy and are not managed as a separate business. Although the Company’s revenue is derived from multiple geographic markets, the CODM does not manage the business on a geographic basis, does not allocate resources by geography, and does not assess performance using discrete geographic profit or loss information. The geographic location of a customer or licensee primarily reflects the location of the contracting entity or end market rather than a separate operating segment with distinct economics, or resource allocation. Therefore, the Company has one operating segment and one reportable segment in accordance with ASC 280, Segment Reporting.</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considers the applicability and impact of all accounting standards updates (“ASUs”). Management periodically reviews new accounting standards that are issued. Under the Jumpstart Our Business Startups Act of 2012, as amended (the “JOBS Act”), the Company meets the definition of an emerging growth company, or EGC, and has elected the extended transition period for complying with new or revised accounting standards, which delays the adoption of these accounting standards until they would apply to private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Recently Adopted Accounting Pronouncements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March 2024, the FASB issued ASU 2024 - 01, Compensation - Stock Compensation (Topic 718): Scope Application of Profits Interest and Similar Awards. The amendments in this Update improve the clarity of paragraph 718 - 10 - 15 - 3 and its application to profits interest or similar awards, primarily through the addition of an illustrative example that includes four fact patterns. This Accounting Standards Update is the final version of Proposed Accounting Standards Update 2023 - ED300 - Compensation - Stock Compensation (Topic 718): Scope Application of Profits Interest Awards, which has been deleted. All reporting entities that account for profits interest awards as compensation to employees or nonemployees in return for goods or services. For public business entities, the amendments in this Update are effective for annual periods beginning after December 15, 2024, and interim periods within those annual periods. For all other entities, the amendments are effective for annual periods beginning after December 15, 2025, and interim periods within those annual periods. Early adoption is permitted for both interim and annual financial statements that have not yet been issued or made available for issuance. If an entity adopts the amendments in an interim period, it should adopt them as of the beginning of the annual period that includes that interim period. The Company adopted this guidance in at the beginning of 2026 and the adoption of this guidance did not have a material impact on its consolidated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2024-04, Debt — Debt with Conversion and Other Options (Subtopic 470-20): Induced Conversions of Convertible Debt Instruments. All reporting entities that settle convertible debt instruments for which the conversion privileges were changed to induce conversion. The amendments in this Update are effective for annual reporting periods beginning after December 15, 2025, and interim reporting periods within those annual reporting periods. Early adoption is permitted. The Company adopted this guidance in at the beginning of 2026 and the adoption of this guidance did not have a material impact on its consolidated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New Accounting Pronouncements Not Yet Adopted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ASU 2023-06 to have a material impact on its consolidated financial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2024 - 03, Income Statement - Reporting Comprehensive Income - Expense Disaggregation Disclosures (Subtopic 220 - 40): Disaggregation of Income Statement Expenses. The amendments in this Update are effective for annual reporting periods beginning after December 15, 2026, and interim reporting periods beginning after December 15, 2027, for all public business entities. In January 2025, the FASB issued ASU 2025 - 01, Income Statement - Reporting Comprehensive Income - Expense Disaggregation Disclosures (Subtopic 220 - 40): Clarifying the Effective Date. The amendment in this Update amends the effective date of Update 2024 - 03 to clarify that all public business entities are required to adopt the guidance in annual reporting periods beginning after December 15, 2026, and interim periods within annual reporting periods beginning after December 15, 2027. Early adoption of Update 2024 - 03 is permitted. The Company is currently evaluating ASU 2023 - 09 to determine the impact it may have on its consolidated financial statements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776" w:name="Tc_SgQELISCW0-Y1JvBTJdSgw_7_5"/>
      <w:bookmarkStart w:id="777" w:name="Tc_GzaJJSk6hE-FDwBkJ_FEvQ_7_2"/>
      <w:bookmarkStart w:id="778" w:name="Tc_0js5op2rjUWdb4DQPMTp7Q_7_0"/>
      <w:bookmarkStart w:id="779" w:name="Tc_tXIGGqbhSUOrQjXfYEGGRA_6_0"/>
      <w:bookmarkStart w:id="780" w:name="Tc_0BNHZLvvjU6Ecy3TdzvE-g_5_6"/>
      <w:bookmarkStart w:id="781" w:name="Tc_q2dBGBkjQ0-E6vUrEMDOxA_5_0"/>
      <w:bookmarkStart w:id="782" w:name="Tc_ypk4sMnbaEuvjYXPEsH-Lg_4_0"/>
      <w:bookmarkStart w:id="783" w:name="Tc_pxRqaIcjqkOKuVu2UI9f3w_3_5"/>
      <w:bookmarkStart w:id="784" w:name="Tc_qzfVYM0DKEOMWbXFAbgfjw_3_2"/>
      <w:bookmarkStart w:id="785" w:name="Tc_RL-Xvq_sSEeEssTBWymSAA_3_0"/>
      <w:bookmarkStart w:id="786" w:name="Tc_rfwkT3oTWEePI8xtB1utow_2_5"/>
      <w:bookmarkStart w:id="787" w:name="Tc_ZiT5qrz-pky77VD1a0XCtA_2_2"/>
      <w:bookmarkStart w:id="788" w:name="Tc_KPay0_TJn0md-1lFK7aqeQ_1_2"/>
      <w:bookmarkStart w:id="789" w:name="Tc_mvYUtJcXlkyNYEsdx42zXg_5_5"/>
      <w:bookmarkStart w:id="790" w:name="Tc_ImxTElhoZ0i3-XGFjmBP8A_5_2"/>
      <w:bookmarkStart w:id="791" w:name="Tc_oCjH6BowvUqdiQciup9B0w_5_0"/>
      <w:bookmarkStart w:id="792" w:name="Tc_wHBaqZ5RlkGNFDfZ5tN7Mg_4_3"/>
      <w:bookmarkStart w:id="793" w:name="Tc_o3oBSF41dECv0whCUjF4Cw_4_0"/>
      <w:bookmarkStart w:id="794" w:name="Tc_ulWjFXcoGUWeU3wC6YvQcQ_3_5"/>
      <w:bookmarkStart w:id="795" w:name="Tc_RKuHMjXmDUqDXHkzDH7fBw_3_2"/>
      <w:bookmarkStart w:id="796" w:name="Tc_d3yVk3zRUUOAQbLKLPtUvA_3_0"/>
      <w:bookmarkStart w:id="797" w:name="Tc_x7B1RKO-uUiF8WgOSpL8JQ_2_5"/>
      <w:bookmarkStart w:id="798" w:name="Tc_UVRsrCD5PE6CnKFws8NPrg_2_2"/>
      <w:bookmarkStart w:id="799" w:name="Tc_Fcq1E7K52EC7fJ8jpKM2mA_1_2"/>
      <w:bookmarkStart w:id="800" w:name="Tc_PmxV4OAVS0igyO3K3CJ6Ew_5_5"/>
      <w:bookmarkStart w:id="801" w:name="Tc_N129MxMQg0C6Fr7Z4CSWfw_5_2"/>
      <w:bookmarkStart w:id="802" w:name="Tc_bgXG9qd-cEGKF3JlT-NNxQ_5_0"/>
      <w:bookmarkStart w:id="803" w:name="Tc_w2XooqngM0y-mv6L3ct1SA_4_0"/>
      <w:bookmarkStart w:id="804" w:name="Tc_XXki2Kvo_ku6oLL2RZ8O3A_3_5"/>
      <w:bookmarkStart w:id="805" w:name="Tc_csyCw7fN_EOvc10GCFMZ9Q_3_2"/>
      <w:bookmarkStart w:id="806" w:name="Tc_3IKMHt2ngEe9arspogp3yA_3_0"/>
      <w:bookmarkStart w:id="807" w:name="Tc_0yfIgvR_jk2rxIGe9G3tIQ_2_5"/>
      <w:bookmarkStart w:id="808" w:name="Tc_MXpCU0pb7EWjxrp_zYomfg_2_2"/>
      <w:bookmarkStart w:id="809" w:name="Tc_oLE_BxV9KU6ijXRt1VN27w_1_2"/>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r>
        <w:rPr>
          <w:rFonts w:ascii="Times New Roman;Times;serif" w:hAnsi="Times New Roman;Times;serif"/>
          <w:b/>
          <w:sz w:val="20"/>
        </w:rPr>
        <w:t>NOTE 3 — ACCOUNTS RECEIVABLE,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net consisted of the following:</w:t>
      </w:r>
    </w:p>
    <w:p>
      <w:pPr>
        <w:pStyle w:val="TextBody"/>
        <w:bidi w:val="0"/>
        <w:spacing w:before="0" w:after="0"/>
        <w:ind w:left="0" w:right="0" w:hanging="0"/>
        <w:jc w:val="left"/>
        <w:rPr/>
      </w:pPr>
      <w:r>
        <w:rPr/>
        <w:t>​</w:t>
      </w:r>
    </w:p>
    <w:tbl>
      <w:tblPr>
        <w:tblW w:w="6261" w:type="dxa"/>
        <w:jc w:val="left"/>
        <w:tblInd w:w="0" w:type="dxa"/>
        <w:tblLayout w:type="fixed"/>
        <w:tblCellMar>
          <w:top w:w="0" w:type="dxa"/>
          <w:left w:w="0" w:type="dxa"/>
          <w:bottom w:w="0" w:type="dxa"/>
          <w:right w:w="0" w:type="dxa"/>
        </w:tblCellMar>
      </w:tblPr>
      <w:tblGrid>
        <w:gridCol w:w="2716"/>
        <w:gridCol w:w="346"/>
        <w:gridCol w:w="253"/>
        <w:gridCol w:w="1248"/>
        <w:gridCol w:w="346"/>
        <w:gridCol w:w="211"/>
        <w:gridCol w:w="114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24660" cy="175260"/>
                      <wp:effectExtent l="0" t="0" r="0" b="0"/>
                      <wp:wrapNone/>
                      <wp:docPr id="88" name="Frame88"/>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0655" cy="175260"/>
                      <wp:effectExtent l="0" t="0" r="0" b="0"/>
                      <wp:wrapNone/>
                      <wp:docPr id="90" name="Frame9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92480" cy="175260"/>
                      <wp:effectExtent l="0" t="0" r="0" b="0"/>
                      <wp:wrapNone/>
                      <wp:docPr id="91" name="Frame91"/>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24535" cy="175260"/>
                      <wp:effectExtent l="0" t="0" r="0" b="0"/>
                      <wp:wrapNone/>
                      <wp:docPr id="94" name="Frame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50,182,975</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(4,756,474)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(5,812,699)</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44,370,276</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net are classified between current and non</w:t>
        <w:noBreakHyphen/>
        <w:t>current portions based on management’s assessment of expected collection timing. In determining the classification, the Company engaged its business and sales teams to contact customers on an individual basis and analyze the expected collection timeline for each outstanding balance. The amount expected to be collected within one year from the balance sheet date is classified as current, while the amount expected to be collected beyond one year is classified as non</w:t>
        <w:noBreakHyphen/>
        <w:t>current. This classification reflects management’s best estimate of the timing of future cash inflows based on customer</w:t>
        <w:noBreakHyphen/>
        <w:t>specific communications, historical collection patterns, and current economic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apply discounting to its accounts receivable, including the non</w:t>
        <w:noBreakHyphen/>
        <w:t>current portion, primary due to the following factors: 1) there are no terms related to the varying prices depending on the timing of the payment terms on the contracts between the Company and customers; 2) the consideration for similar products is set at the same level regardless of the payment terms granted, such that the promised consideration approximates the cash selling price of the promised medical devices or licensed technologies; and 3) these receivables do not bear a stated interest rate and any discounting impact would be immaterial to the consolidated financial statements. The classification of receivables between current and non</w:t>
        <w:noBreakHyphen/>
        <w:t>current is based on the expected timing of collection and does not change the measurement basis of the receivables, which remain recorded at the invoiced amount less allowance for 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current and non-current classification of accounts receivable, net is set out below:</w:t>
      </w:r>
    </w:p>
    <w:p>
      <w:pPr>
        <w:pStyle w:val="TextBody"/>
        <w:bidi w:val="0"/>
        <w:spacing w:before="0" w:after="0"/>
        <w:ind w:left="0" w:right="0" w:hanging="0"/>
        <w:jc w:val="left"/>
        <w:rPr/>
      </w:pPr>
      <w:r>
        <w:rPr/>
        <w:t>​</w:t>
      </w:r>
    </w:p>
    <w:tbl>
      <w:tblPr>
        <w:tblW w:w="6651" w:type="dxa"/>
        <w:jc w:val="left"/>
        <w:tblInd w:w="0" w:type="dxa"/>
        <w:tblLayout w:type="fixed"/>
        <w:tblCellMar>
          <w:top w:w="0" w:type="dxa"/>
          <w:left w:w="0" w:type="dxa"/>
          <w:bottom w:w="0" w:type="dxa"/>
          <w:right w:w="0" w:type="dxa"/>
        </w:tblCellMar>
      </w:tblPr>
      <w:tblGrid>
        <w:gridCol w:w="3106"/>
        <w:gridCol w:w="346"/>
        <w:gridCol w:w="253"/>
        <w:gridCol w:w="1248"/>
        <w:gridCol w:w="346"/>
        <w:gridCol w:w="211"/>
        <w:gridCol w:w="11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72310" cy="175260"/>
                      <wp:effectExtent l="0" t="0" r="0" b="0"/>
                      <wp:wrapNone/>
                      <wp:docPr id="95" name="Frame95"/>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0655" cy="175260"/>
                      <wp:effectExtent l="0" t="0" r="0" b="0"/>
                      <wp:wrapNone/>
                      <wp:docPr id="97" name="Frame9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92480" cy="175260"/>
                      <wp:effectExtent l="0" t="0" r="0" b="0"/>
                      <wp:wrapNone/>
                      <wp:docPr id="98" name="Frame98"/>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24535" cy="175260"/>
                      <wp:effectExtent l="0" t="0" r="0" b="0"/>
                      <wp:wrapNone/>
                      <wp:docPr id="101" name="Frame10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30,681,684</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net-non current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13,688,592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44,370,276</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 primarily comprises balances due from distributors and direct customers arising from the sale of medical devices, as well as amounts due from technology licensees under licensing arrangements. The Company recorded a provision for current expected credit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movement of the allowance for credit losses is as follows:</w:t>
      </w:r>
    </w:p>
    <w:p>
      <w:pPr>
        <w:pStyle w:val="TextBody"/>
        <w:bidi w:val="0"/>
        <w:spacing w:before="0" w:after="0"/>
        <w:ind w:left="0" w:right="0" w:hanging="0"/>
        <w:jc w:val="left"/>
        <w:rPr/>
      </w:pPr>
      <w:r>
        <w:rPr/>
        <w:t>​</w:t>
      </w:r>
    </w:p>
    <w:tbl>
      <w:tblPr>
        <w:tblW w:w="8047" w:type="dxa"/>
        <w:jc w:val="left"/>
        <w:tblInd w:w="0" w:type="dxa"/>
        <w:tblLayout w:type="fixed"/>
        <w:tblCellMar>
          <w:top w:w="0" w:type="dxa"/>
          <w:left w:w="0" w:type="dxa"/>
          <w:bottom w:w="0" w:type="dxa"/>
          <w:right w:w="0" w:type="dxa"/>
        </w:tblCellMar>
      </w:tblPr>
      <w:tblGrid>
        <w:gridCol w:w="4786"/>
        <w:gridCol w:w="346"/>
        <w:gridCol w:w="211"/>
        <w:gridCol w:w="1051"/>
        <w:gridCol w:w="346"/>
        <w:gridCol w:w="211"/>
        <w:gridCol w:w="109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039110" cy="175260"/>
                      <wp:effectExtent l="0" t="0" r="0" b="0"/>
                      <wp:wrapNone/>
                      <wp:docPr id="102" name="Frame102"/>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67385" cy="175260"/>
                      <wp:effectExtent l="0" t="0" r="0" b="0"/>
                      <wp:wrapNone/>
                      <wp:docPr id="105" name="Frame10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5960" cy="175260"/>
                      <wp:effectExtent l="0" t="0" r="0" b="0"/>
                      <wp:wrapNone/>
                      <wp:docPr id="108" name="Frame10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(4,756,474)</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allowance for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(904,051)</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Recovery of allowance for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(152,174)</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(4,068,315)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(5,812,699)</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aging of accounts receivable is calculated from the expiry date of the customer’s credit terms which is different with the aging accounts receivable based on the number of days. In the first half of 2026, The Company generally grants customers of sales of medical devices a credit period of 30 to 180 days, and in very exceptional circumstances (for example technology licensing transactions customers), the credit term for some individual customers may be granted up to 365 days. And the Company generally grant trade debtors a credit period of 30 to 180 days in the first half of 2025. If accounts receivable of a customer is not yet aged beyond the credit period, the aging of the receivable will be classified as not overdue in the following table.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810" w:name="Tc_nY6zSEiCK0-fb5LsH8e-ug_6_5"/>
      <w:bookmarkStart w:id="811" w:name="Tc_ub5a9UPrrk6qEgk8FS6MdQ_6_2"/>
      <w:bookmarkStart w:id="812" w:name="Tc_mk3haTgbWkO0XEgTWIczdg_5_0"/>
      <w:bookmarkStart w:id="813" w:name="Tc_q38cFSWkWEq9nnaYWjA37Q_4_0"/>
      <w:bookmarkStart w:id="814" w:name="Tc_M9z8QzFf406-dvtQVftnMg_3_5"/>
      <w:bookmarkStart w:id="815" w:name="Tc_iG7ivGcJjU6dxRpuTBdG3g_3_2"/>
      <w:bookmarkStart w:id="816" w:name="Tc_CcYMY8hZekm9qGmFZOMmBg_3_0"/>
      <w:bookmarkStart w:id="817" w:name="Tc_S1pkmJmtFE-VjGc2n1qXkQ_2_5"/>
      <w:bookmarkStart w:id="818" w:name="Tc_6eDHhGTlkECTRVO5GoynXA_2_2"/>
      <w:bookmarkStart w:id="819" w:name="Tc_Oi56YuWo_ES5lSUj-EDZ-A_1_2"/>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sz w:val="20"/>
        </w:rPr>
        <w:t>The aging is calculated based on the expiry date of the original credit terms, not the extended payment date. If the credit period is subsequently extended, the receivable continues to age from the original due date and does not revert to a current status. For allowance for expected credit losses purposes, the aging classification and corresponding expected loss rates is determined based on the original contractual payment terms, irrespective of any payment extensions or deferrals granted to the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aging analysis of the Company’s accounts receivable calculated from the expiration date of the customer’s credit terms is as follows:</w:t>
      </w:r>
    </w:p>
    <w:p>
      <w:pPr>
        <w:pStyle w:val="TextBody"/>
        <w:bidi w:val="0"/>
        <w:spacing w:before="0" w:after="0"/>
        <w:ind w:left="0" w:right="0" w:hanging="0"/>
        <w:jc w:val="left"/>
        <w:rPr/>
      </w:pPr>
      <w:r>
        <w:rPr/>
        <w:t>​</w:t>
      </w:r>
    </w:p>
    <w:tbl>
      <w:tblPr>
        <w:tblW w:w="5601" w:type="dxa"/>
        <w:jc w:val="left"/>
        <w:tblInd w:w="0" w:type="dxa"/>
        <w:tblLayout w:type="fixed"/>
        <w:tblCellMar>
          <w:top w:w="0" w:type="dxa"/>
          <w:left w:w="0" w:type="dxa"/>
          <w:bottom w:w="0" w:type="dxa"/>
          <w:right w:w="0" w:type="dxa"/>
        </w:tblCellMar>
      </w:tblPr>
      <w:tblGrid>
        <w:gridCol w:w="2056"/>
        <w:gridCol w:w="346"/>
        <w:gridCol w:w="253"/>
        <w:gridCol w:w="1248"/>
        <w:gridCol w:w="346"/>
        <w:gridCol w:w="211"/>
        <w:gridCol w:w="114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05560" cy="175260"/>
                      <wp:effectExtent l="0" t="0" r="0" b="0"/>
                      <wp:wrapNone/>
                      <wp:docPr id="109" name="Frame109"/>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0655" cy="175260"/>
                      <wp:effectExtent l="0" t="0" r="0" b="0"/>
                      <wp:wrapNone/>
                      <wp:docPr id="111" name="Frame11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92480" cy="175260"/>
                      <wp:effectExtent l="0" t="0" r="0" b="0"/>
                      <wp:wrapNone/>
                      <wp:docPr id="112" name="Frame112"/>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24535" cy="175260"/>
                      <wp:effectExtent l="0" t="0" r="0" b="0"/>
                      <wp:wrapNone/>
                      <wp:docPr id="115" name="Frame1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27,346,103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18,371,311</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Including: Not Overdue</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7,609,771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6,999,053</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a year</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19,939,290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31,811,664</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50,182,975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Receivables that were neither past due nor impaired relate to a large number of customers for whom there was no recent history of default.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the Company had a short-term borrowing facility with China CITIC Bank Suzhou Branch, under which certain accounts receivable was collateralized as collateral. A valid collateral registration was completed in accordance with the relevant agreement. As of June 30, 2026, the carrying amount of accounts receivable collateralized under this arrangement was $8.4 million, and the outstanding borrowings secured by such collateral amounted to $3.7 million, with annual interest rates of either 3.00% or 2.70%, depending on the particular interest rate of such secured loan. For the six months ended June 30, 2026, the accrued interest on the loan was $33,676. Before the maturity date of such loans, the Company may use the cash received from the collection of accounts receivable without any restrictions, and the Company is not required to assign the rights to receive such accounts receivable to China CITIC Bank Suzhou Branch. If the Company defaults on the repayment of such loans, the Company must transfer the accounts receivable it receives to a designated bank account of China CITIC Bank Suzhou Branch, which account China CITIC Bank Suzhou Branch is authorized to supervise. China CITIC Bank Suzhou Branch is authorized to use any amount deposited into the designated bank account to offset the amounts outstanding under such defaulted loans.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a short-term borrowing facility with Bank of Hangzhou, under which certain accounts receivable was collateralized as collateral. A valid collateral registration was completed in accordance with the relevant agreement. As of December 31, 2025, the carrying amount of accounts receivable collateralized under this arrangement was $0.8 million, and the outstanding borrowings secured by such pledge amounted to $0.7 million, with annual interest rates of either 3.50%. For the year ended December 31, 2025, the accrued interest on the loan was $0.02 million. Before the maturity date of such loans, the Company may use the cash received from the collection of accounts receivable without any restrictions, and the Company is not required to assign the rights to receive such accounts receivable to Bank of Hangzhou. If the Company defaults on the repayment of such loans, the Company must transfer the accounts receivable it receives to a designated bank account of Bank of Hangzhou, which account Bank of Hangzhou is authorized to supervise. Bank of Hangzhou is authorized to use any amount deposited into the designated bank account to offset the amounts outstanding under such defaulted loans. The borrowing matured and was fully repaid in February 2026 according to the payment schedule.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a short-term borrowing facility with China CITIC Bank Suzhou Branch, under which certain accounts receivable was collateralized as collateral. A valid collateral registration was completed in accordance with the relevant agreement. As of December 31, 2025, the carrying amount of accounts receivable collateralized under this arrangement was $4.2 million, and the outstanding borrowings secured by such collateral amounted to $2.1 million, with annual interest rates of either 3.00% or 2.70%, depending on the particular interest rate of such secured loan. For the year ended December 31, 2025, the accrued interest on the loan was $675. Before the maturity date of such loans, the Company may use the cash received from the collection of accounts receivable without any restrictions, and the Company is not required to assign the rights to receive such accounts receivable to China CITIC Bank Suzhou Branch. If the Company defaults on the repayment of such loans, the Company must transfer the accounts receivable it receives to a designated bank account of China CITIC Bank Suzhou Branch, which account China CITIC Bank Suzhou Branch is authorized to supervise. China CITIC Bank Suzhou Branch is authorized to use any amount deposited into the designated bank account to offset the amounts outstanding under such defaulted loans. In 2026, these bank loans were repaid according to China CITIC Bank Suzhou Branch’s payment schedule.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b/>
          <w:sz w:val="20"/>
        </w:rPr>
      </w:pPr>
      <w:bookmarkStart w:id="820" w:name="Tc_TQO-ex1uq0au9q4rRBi2rg_6_5"/>
      <w:bookmarkStart w:id="821" w:name="Tc_rvsCrN-XhU-nHlq3M13kgw_6_2"/>
      <w:bookmarkStart w:id="822" w:name="Tc_Le2jxxA0N02hAYMm-wJRiA_6_0"/>
      <w:bookmarkStart w:id="823" w:name="Tc_vbQFZB1mj0ao36KtVeTtbQ_5_0"/>
      <w:bookmarkStart w:id="824" w:name="Tc_q56Ce6Q080ms4RJxjJs5cg_4_6"/>
      <w:bookmarkStart w:id="825" w:name="Tc_PrbNYGhJZk-1nfWo2MBSKQ_4_3"/>
      <w:bookmarkStart w:id="826" w:name="Tc_swU_2jFM00SogpIE8QqkBQ_4_0"/>
      <w:bookmarkStart w:id="827" w:name="Tc_QguX-UNEdEKzDhhfAYJafQ_3_5"/>
      <w:bookmarkStart w:id="828" w:name="Tc_KNjekNiHnUCL5z9mJDKN1g_3_2"/>
      <w:bookmarkStart w:id="829" w:name="Tc_hDOrh1ZQi0iatUVbBD2H1Q_3_0"/>
      <w:bookmarkStart w:id="830" w:name="Tc__pltbb5usUiXzk6Rhy16gg_2_5"/>
      <w:bookmarkStart w:id="831" w:name="Tc_mlSnB8Tx40mBMCeb47cJ4w_2_2"/>
      <w:bookmarkStart w:id="832" w:name="Tc_N4b-SCRSfEm1OnzwcD24Ww_1_2"/>
      <w:bookmarkStart w:id="833" w:name="Tc_Xfxpzunb50S0mWRuJiJGZg_11_5"/>
      <w:bookmarkStart w:id="834" w:name="Tc_-9Y0vHEGf02l_m5eu8bCQQ_11_2"/>
      <w:bookmarkStart w:id="835" w:name="Tc_BHvaoo2x1EO9f7qFzXN_HA_11_0"/>
      <w:bookmarkStart w:id="836" w:name="Tc_tYWtyThkBUuze0nVCZ8_sw_10_0"/>
      <w:bookmarkStart w:id="837" w:name="Tc_oOvFA1EEXUuzXW0FONlVfg_9_0"/>
      <w:bookmarkStart w:id="838" w:name="Tc_2Ogmi_NYHki75MGlO3n6FQ_8_0"/>
      <w:bookmarkStart w:id="839" w:name="Tc_CvFk2J_FNUiVHAzPXpAK6g_7_0"/>
      <w:bookmarkStart w:id="840" w:name="Tc_W3KuEcsY80WG9UnM8qUwmA_6_0"/>
      <w:bookmarkStart w:id="841" w:name="Tc_UARJdq4WB0mV5JblHTDRog_5_0"/>
      <w:bookmarkStart w:id="842" w:name="Tc_lmOX_HTge0Cm0aDKzNbIUQ_4_0"/>
      <w:bookmarkStart w:id="843" w:name="Tc_unavh045e0GcY9_URYiD2Q_3_5"/>
      <w:bookmarkStart w:id="844" w:name="Tc_33G22mSi2E6UA-TMF8mCxw_3_2"/>
      <w:bookmarkStart w:id="845" w:name="Tc_rs3EY5Nm70azm5cijNV0nw_3_0"/>
      <w:bookmarkStart w:id="846" w:name="Tc_K_1yGKukHU2JgNoam_of9A_2_5"/>
      <w:bookmarkStart w:id="847" w:name="Tc_uAtocoHyCU-prEBgekYq1Q_2_2"/>
      <w:bookmarkStart w:id="848" w:name="Tc_RvIoouoEL0q6c5KaMkni4w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sz w:val="20"/>
        </w:rPr>
        <w:t>NOTE 4 — PREPAYMENTS, NET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Prepayments consisted of the following:</w:t>
      </w:r>
    </w:p>
    <w:p>
      <w:pPr>
        <w:pStyle w:val="TextBody"/>
        <w:bidi w:val="0"/>
        <w:spacing w:before="0" w:after="0"/>
        <w:ind w:left="0" w:right="0" w:hanging="0"/>
        <w:jc w:val="left"/>
        <w:rPr/>
      </w:pPr>
      <w:r>
        <w:rPr/>
        <w:t>​</w:t>
      </w:r>
    </w:p>
    <w:tbl>
      <w:tblPr>
        <w:tblW w:w="7866" w:type="dxa"/>
        <w:jc w:val="left"/>
        <w:tblInd w:w="0" w:type="dxa"/>
        <w:tblLayout w:type="fixed"/>
        <w:tblCellMar>
          <w:top w:w="0" w:type="dxa"/>
          <w:left w:w="0" w:type="dxa"/>
          <w:bottom w:w="0" w:type="dxa"/>
          <w:right w:w="0" w:type="dxa"/>
        </w:tblCellMar>
      </w:tblPr>
      <w:tblGrid>
        <w:gridCol w:w="4321"/>
        <w:gridCol w:w="346"/>
        <w:gridCol w:w="253"/>
        <w:gridCol w:w="1248"/>
        <w:gridCol w:w="346"/>
        <w:gridCol w:w="211"/>
        <w:gridCol w:w="11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743835" cy="175260"/>
                      <wp:effectExtent l="0" t="0" r="0" b="0"/>
                      <wp:wrapNone/>
                      <wp:docPr id="116" name="Frame11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0655" cy="175260"/>
                      <wp:effectExtent l="0" t="0" r="0" b="0"/>
                      <wp:wrapNone/>
                      <wp:docPr id="118" name="Frame11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92480" cy="175260"/>
                      <wp:effectExtent l="0" t="0" r="0" b="0"/>
                      <wp:wrapNone/>
                      <wp:docPr id="119" name="Frame119"/>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24535" cy="175260"/>
                      <wp:effectExtent l="0" t="0" r="0" b="0"/>
                      <wp:wrapNone/>
                      <wp:docPr id="122" name="Frame1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R&amp;D</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11,799,310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14,002,548</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purchase of materials and others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4,143,513</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1,392,340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for others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944,184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17,662,683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20,482,585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impairment loss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net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17,658,479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20,478,251</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Long term portion</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(7,113,014)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(7,657,156)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net –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12,821,095</w:t>
            </w:r>
          </w:p>
        </w:tc>
      </w:tr>
    </w:tbl>
    <w:p>
      <w:pPr>
        <w:pStyle w:val="TextBody"/>
        <w:bidi w:val="0"/>
        <w:spacing w:before="0" w:after="0"/>
        <w:ind w:left="0" w:right="0" w:hanging="0"/>
        <w:jc w:val="both"/>
        <w:rPr/>
      </w:pPr>
      <w:r>
        <w:rPr/>
        <w: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Prepayments as of December 31, 2025 and June 30, 2026 were all made to third parties. The third-party R&amp;D service provider issues a R&amp;D progress report at the end of each period, and the Company recognizes the prepayment as R&amp;D expenses based on the percentage of completion on the progress report, while the prepayment corresponding to uncompleted R&amp;D is still recognized as prepayment.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Prepayments, net, long term portion primarily consist of advance payments made for the acquisition of property and equipment, as well as prepayments related to research and development projects with an expected duration of more than one year. Amounts associated with these R&amp;D projects are classified as long-term when the related services or milestones are not expected to be realized within the next twelve months. These prepayments will be recorded at cost or recognized as expense or reclassified to the appropriate asset category when the related goods are received, services are performed, or the underlying assets are placed in service.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balance of the prepayment - impairment loss is as follows:</w:t>
      </w:r>
    </w:p>
    <w:p>
      <w:pPr>
        <w:pStyle w:val="TextBody"/>
        <w:bidi w:val="0"/>
        <w:spacing w:before="0" w:after="0"/>
        <w:ind w:left="0" w:right="0" w:hanging="0"/>
        <w:jc w:val="left"/>
        <w:rPr/>
      </w:pPr>
      <w:r>
        <w:rPr/>
        <w:t>​</w:t>
      </w:r>
    </w:p>
    <w:tbl>
      <w:tblPr>
        <w:tblW w:w="6480" w:type="dxa"/>
        <w:jc w:val="left"/>
        <w:tblInd w:w="0" w:type="dxa"/>
        <w:tblLayout w:type="fixed"/>
        <w:tblCellMar>
          <w:top w:w="0" w:type="dxa"/>
          <w:left w:w="0" w:type="dxa"/>
          <w:bottom w:w="0" w:type="dxa"/>
          <w:right w:w="0" w:type="dxa"/>
        </w:tblCellMar>
      </w:tblPr>
      <w:tblGrid>
        <w:gridCol w:w="3466"/>
        <w:gridCol w:w="346"/>
        <w:gridCol w:w="256"/>
        <w:gridCol w:w="840"/>
        <w:gridCol w:w="421"/>
        <w:gridCol w:w="256"/>
        <w:gridCol w:w="895"/>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200910" cy="175260"/>
                      <wp:effectExtent l="0" t="0" r="0" b="0"/>
                      <wp:wrapNone/>
                      <wp:docPr id="123" name="Frame12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2560" cy="175260"/>
                      <wp:effectExtent l="0" t="0" r="0" b="0"/>
                      <wp:wrapNone/>
                      <wp:docPr id="125" name="Frame12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33400" cy="175260"/>
                      <wp:effectExtent l="0" t="0" r="0" b="0"/>
                      <wp:wrapNone/>
                      <wp:docPr id="126" name="Frame12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67335" cy="175260"/>
                      <wp:effectExtent l="0" t="0" r="0" b="0"/>
                      <wp:wrapNone/>
                      <wp:docPr id="127" name="Frame12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2560" cy="175260"/>
                      <wp:effectExtent l="0" t="0" r="0" b="0"/>
                      <wp:wrapNone/>
                      <wp:docPr id="128" name="Frame12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68325" cy="175260"/>
                      <wp:effectExtent l="0" t="0" r="0" b="0"/>
                      <wp:wrapNone/>
                      <wp:docPr id="129" name="Frame129"/>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1" w:type="dxa"/>
            <w:tcBorders/>
            <w:vAlign w:val="center"/>
          </w:tcPr>
          <w:p>
            <w:pPr>
              <w:pStyle w:val="TableContents"/>
              <w:bidi w:val="0"/>
              <w:spacing w:before="0" w:after="0"/>
              <w:ind w:left="0" w:right="0" w:hanging="0"/>
              <w:jc w:val="center"/>
              <w:rPr/>
            </w:pPr>
            <w:r>
              <w:rPr/>
              <w:t>  ​ ​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charged to the impairment loss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w:t>
            </w:r>
          </w:p>
        </w:tc>
        <w:tc>
          <w:tcPr>
            <w:tcW w:w="421"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849" w:name="Tc_s5FZTLwYn0iBku7xAMTpDg_13_5"/>
      <w:bookmarkStart w:id="850" w:name="Tc_--le2k0FTkapbucIrRTdFg_13_2"/>
      <w:bookmarkStart w:id="851" w:name="Tc_CFZ6O5afZkqMkZ7ie3ZJzQ_13_0"/>
      <w:bookmarkStart w:id="852" w:name="Tc_E_o0kIirdEqiaHk8W9VZ7A_12_6"/>
      <w:bookmarkStart w:id="853" w:name="Tc_xqMd_Vvxh0inRcZzauKbhw_12_0"/>
      <w:bookmarkStart w:id="854" w:name="Tc_-km-WW9mhEermJkOHneYAA_11_6"/>
      <w:bookmarkStart w:id="855" w:name="Tc_6sI0l0Wxhk6vI4SBonwBpA_11_0"/>
      <w:bookmarkStart w:id="856" w:name="Tc_ZuoIIUEPdkOptZw3Hog1uw_10_0"/>
      <w:bookmarkStart w:id="857" w:name="Tc_-g5AnOgRV0uscRh5gyQNLA_9_0"/>
      <w:bookmarkStart w:id="858" w:name="Tc_RfKfHWOG-kuk9xEKPTo6eg_8_0"/>
      <w:bookmarkStart w:id="859" w:name="Tc_tWm9w45xbEyRAXjYQj48_Q_7_0"/>
      <w:bookmarkStart w:id="860" w:name="Tc_ZxJC2jfjG0a8dqiHSrqvJA_6_0"/>
      <w:bookmarkStart w:id="861" w:name="Tc_vsRiz_4sE0udUsF4YX0J8A_5_0"/>
      <w:bookmarkStart w:id="862" w:name="Tc_mpHGtyuWvkWUpK8wNwYV2g_4_0"/>
      <w:bookmarkStart w:id="863" w:name="Tc_DTPF4h7JWEeIjjsLncc4iA_3_5"/>
      <w:bookmarkStart w:id="864" w:name="Tc_kQ_3URss7kiOUYTmIPE2HQ_3_2"/>
      <w:bookmarkStart w:id="865" w:name="Tc_7BiSoheTBkCDac1ZtlBGKg_3_0"/>
      <w:bookmarkStart w:id="866" w:name="Tc_mlFyPm3EpEONx0Vi99pErQ_2_5"/>
      <w:bookmarkStart w:id="867" w:name="Tc_So0VT3DJkkCP38OHk3IIig_2_2"/>
      <w:bookmarkStart w:id="868" w:name="Tc_jiFJcECfsU2-c6Y6EIslUA_1_2"/>
      <w:bookmarkStart w:id="869" w:name="_46963687_b302_4de2_8601_6acc74c11dee"/>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b/>
          <w:sz w:val="20"/>
        </w:rPr>
        <w:t>NOTE 5 — ACCRUED EXPENSES AND OTHER PAYABLES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Accrued expenses and other payables consisted of the following:</w:t>
      </w:r>
    </w:p>
    <w:p>
      <w:pPr>
        <w:pStyle w:val="TextBody"/>
        <w:bidi w:val="0"/>
        <w:spacing w:before="0" w:after="0"/>
        <w:ind w:left="0" w:right="0" w:hanging="0"/>
        <w:jc w:val="left"/>
        <w:rPr/>
      </w:pPr>
      <w:r>
        <w:rPr/>
        <w:t>​</w:t>
      </w:r>
    </w:p>
    <w:tbl>
      <w:tblPr>
        <w:tblW w:w="7461" w:type="dxa"/>
        <w:jc w:val="left"/>
        <w:tblInd w:w="0" w:type="dxa"/>
        <w:tblLayout w:type="fixed"/>
        <w:tblCellMar>
          <w:top w:w="0" w:type="dxa"/>
          <w:left w:w="0" w:type="dxa"/>
          <w:bottom w:w="0" w:type="dxa"/>
          <w:right w:w="0" w:type="dxa"/>
        </w:tblCellMar>
      </w:tblPr>
      <w:tblGrid>
        <w:gridCol w:w="4021"/>
        <w:gridCol w:w="346"/>
        <w:gridCol w:w="277"/>
        <w:gridCol w:w="1224"/>
        <w:gridCol w:w="346"/>
        <w:gridCol w:w="211"/>
        <w:gridCol w:w="103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553335" cy="175260"/>
                      <wp:effectExtent l="0" t="0" r="0" b="0"/>
                      <wp:wrapNone/>
                      <wp:docPr id="130" name="Frame13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5895" cy="175260"/>
                      <wp:effectExtent l="0" t="0" r="0" b="0"/>
                      <wp:wrapNone/>
                      <wp:docPr id="132" name="Frame13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77240" cy="175260"/>
                      <wp:effectExtent l="0" t="0" r="0" b="0"/>
                      <wp:wrapNone/>
                      <wp:docPr id="133" name="Frame133"/>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57860" cy="175260"/>
                      <wp:effectExtent l="0" t="0" r="0" b="0"/>
                      <wp:wrapNone/>
                      <wp:docPr id="136" name="Frame1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received from potential investors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1,717,548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service fees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846,774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 of PIPE dividend</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355,250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for short-term lease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332,907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advances for service-related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318,539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Staff reimbursement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91,674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Deposits-others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73,700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Penalty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academic conference fees payable</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3,777,781</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Penalty payable*: The Company failed to renew its previous manufacture license within the prescribed time period under relevant regulations due to employee oversight in 2021. As a result, there was a time gap of approximately two months between the cancellation of the expired license and the receipt of a new one. In November 2024, the Company was imposed a confiscation of our sales revenue during such period and an administrative penalty in an aggregate amount of $640,067. This penalty has been fully paid in the first half of 2026.</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870" w:name="Tc_8Wdk7YD_10mKoOY_9IPGDw_15_0"/>
      <w:bookmarkStart w:id="871" w:name="Tc_MqB9Q3uYnUKjqJXoXOmSDQ_14_10"/>
      <w:bookmarkStart w:id="872" w:name="Tc_FQy4SDdwa0-S1HDVE605xA_14_8"/>
      <w:bookmarkStart w:id="873" w:name="Tc_bFMe92Y9WUCt0Q9VIfvOVw_14_7"/>
      <w:bookmarkStart w:id="874" w:name="Tc_3G3HKz_meU6QyCl9SdFQOw_14_4"/>
      <w:bookmarkStart w:id="875" w:name="Tc_ggP0v5Tfu0mEJwd7vYDeZA_14_2"/>
      <w:bookmarkStart w:id="876" w:name="Tc_33xH6drbEkygxhMKDVPeyw_14_0"/>
      <w:bookmarkStart w:id="877" w:name="Tc_5v35bW3MbEubtUnDlj-6jg_13_10"/>
      <w:bookmarkStart w:id="878" w:name="Tc_jT2m-nbVokGC4ibyFQA56A_13_8"/>
      <w:bookmarkStart w:id="879" w:name="Tc_mHt6oqB23U-xMPYh1lItnQ_13_7"/>
      <w:bookmarkStart w:id="880" w:name="Tc_cMOCePGgqUiQRdrynnymsw_13_4"/>
      <w:bookmarkStart w:id="881" w:name="Tc_ErV5cnLw9EuICTWgZnRxUg_13_2"/>
      <w:bookmarkStart w:id="882" w:name="Tc_bTRhkA9yJ0ibZx_6r_XKWw_13_0"/>
      <w:bookmarkStart w:id="883" w:name="Tc_eJszT-pa4EevJ2gs3VJ4Vw_12_10"/>
      <w:bookmarkStart w:id="884" w:name="Tc_uxkuAgN1vESDb_Y_9pZAQw_12_8"/>
      <w:bookmarkStart w:id="885" w:name="Tc_EQ2IwqXcXk-9yRhsXYGotg_12_7"/>
      <w:bookmarkStart w:id="886" w:name="Tc_krbzkKlQrkKSwya-PvXjIg_12_4"/>
      <w:bookmarkStart w:id="887" w:name="Tc_ANWLpzSyoESmdA8oJMhPgA_12_2"/>
      <w:bookmarkStart w:id="888" w:name="Tc_ta-3bAGZhU6MfJ_uDNQq3A_12_0"/>
      <w:bookmarkStart w:id="889" w:name="Tc_XdcvhmcQSUe25asgP9CPWA_11_10"/>
      <w:bookmarkStart w:id="890" w:name="Tc_4zwLQKlCmUmaDXUMmi_PWw_11_8"/>
      <w:bookmarkStart w:id="891" w:name="Tc_STmdTxLMdk-lqY2USS7gRA_11_7"/>
      <w:bookmarkStart w:id="892" w:name="Tc_E1UYhMqz2USgvPmModsZxg_11_4"/>
      <w:bookmarkStart w:id="893" w:name="Tc_1wvsD9DSZ0iB-acB6SnacQ_11_2"/>
      <w:bookmarkStart w:id="894" w:name="Tc_yWOHWmZMyE6ZnwaiyKc3Zg_11_0"/>
      <w:bookmarkStart w:id="895" w:name="Tc_66tny8s2iEm2xje-OsDRQQ_10_10"/>
      <w:bookmarkStart w:id="896" w:name="Tc_rhM37Nv2o0SyQlR7rMFp3w_10_8"/>
      <w:bookmarkStart w:id="897" w:name="Tc_M_Gih68GTUqKiaWhONiuPQ_10_7"/>
      <w:bookmarkStart w:id="898" w:name="Tc__cWypf9AiESzjDo1_x5FBw_10_4"/>
      <w:bookmarkStart w:id="899" w:name="Tc_1BC33Nk3B0yX85OPjQ8GBg_10_2"/>
      <w:bookmarkStart w:id="900" w:name="Tc_4PabHxXSIUyzsprK97kKbA_10_0"/>
      <w:bookmarkStart w:id="901" w:name="Tc_8OshhIXKJE2iHkaJDDjFyw_9_10"/>
      <w:bookmarkStart w:id="902" w:name="Tc_NCWVskF2bEK-UKbGdljWxA_9_8"/>
      <w:bookmarkStart w:id="903" w:name="Tc_P1keP9sHskGSVu8NVJGvwQ_9_7"/>
      <w:bookmarkStart w:id="904" w:name="Tc_5ikpHIaQCkeEknYXZlMJ7Q_9_4"/>
      <w:bookmarkStart w:id="905" w:name="Tc_sIrLR_tOx0em3SI6xNBmew_9_2"/>
      <w:bookmarkStart w:id="906" w:name="Tc_vYCDTXPPg0Ce-zcgfoP4wg_9_0"/>
      <w:bookmarkStart w:id="907" w:name="Tc_7GyosXJtGEa4K6oYxq3cuQ_8_10"/>
      <w:bookmarkStart w:id="908" w:name="Tc_FCEAMTfR90qp7Eg0bADV-A_8_8"/>
      <w:bookmarkStart w:id="909" w:name="Tc_FcqoSr8GSk6eNyrf_BfK9A_8_7"/>
      <w:bookmarkStart w:id="910" w:name="Tc_aotAeDfWM0u19nycT53vTw_8_4"/>
      <w:bookmarkStart w:id="911" w:name="Tc_kYpq3mZNu0mCe5_P8Cm3cA_8_2"/>
      <w:bookmarkStart w:id="912" w:name="Tc_Dluz9Nn-Pk2kN51LIn1hSw_8_0"/>
      <w:bookmarkStart w:id="913" w:name="Tc_CSC5tzlV7Em1L_1IMK3qYg_7_10"/>
      <w:bookmarkStart w:id="914" w:name="Tc_Uj1stox5ZEGrtTHIimXZ8w_7_8"/>
      <w:bookmarkStart w:id="915" w:name="Tc_fgf2i6usakaEGTIURK3X-g_7_7"/>
      <w:bookmarkStart w:id="916" w:name="Tc_STweSQyI8ECCrhj2-2unCg_7_4"/>
      <w:bookmarkStart w:id="917" w:name="Tc_NKcivI1PeEu0zpzkZc2Vlg_7_2"/>
      <w:bookmarkStart w:id="918" w:name="Tc_9ztqHoFrUU2lOzqYYbwZLA_7_0"/>
      <w:bookmarkStart w:id="919" w:name="Tc_uM1tOLRbsEGeaQpU8cz2CQ_6_10"/>
      <w:bookmarkStart w:id="920" w:name="Tc_HRRZYAGptU2558GWJnPrUg_6_8"/>
      <w:bookmarkStart w:id="921" w:name="Tc__wbzJm73nEiibXMx1RC7lg_6_7"/>
      <w:bookmarkStart w:id="922" w:name="Tc_m6ulNQtYFE-2MPwknYN5dw_6_4"/>
      <w:bookmarkStart w:id="923" w:name="Tc_rLjRUgwzHU6IrKDtQNkXww_6_2"/>
      <w:bookmarkStart w:id="924" w:name="Tc_GWmaDeJcXESbkOpVa1ppag_6_0"/>
      <w:bookmarkStart w:id="925" w:name="Tc_N6RNT64a2kKz_2wnTXQkkQ_5_10"/>
      <w:bookmarkStart w:id="926" w:name="Tc_oYFvqEH2E0iNR3wb4jgzSA_5_8"/>
      <w:bookmarkStart w:id="927" w:name="Tc_EsLpLui9jUyc9V46YEB0TQ_5_7"/>
      <w:bookmarkStart w:id="928" w:name="Tc_AEONFAGdIkCKFa2WOgmeqg_5_4"/>
      <w:bookmarkStart w:id="929" w:name="Tc_sUSv1HHy0Umuwxc1dZTaaA_5_2"/>
      <w:bookmarkStart w:id="930" w:name="Tc_qceANkNSCEq4iLdJWUoclw_5_0"/>
      <w:bookmarkStart w:id="931" w:name="Tc_ycN68JqhqEqicTg3UujJjg_4_10"/>
      <w:bookmarkStart w:id="932" w:name="Tc_IOuYuyZTk0uqYHpAYj92EQ_4_8"/>
      <w:bookmarkStart w:id="933" w:name="Tc_621-DYZGqUKINTr-HQQ-JQ_4_7"/>
      <w:bookmarkStart w:id="934" w:name="Tc_pTfQ4xmocE6fFGn_5z47IA_4_4"/>
      <w:bookmarkStart w:id="935" w:name="Tc_n5VYL7_NbE6A3zsnyoe5Cw_4_2"/>
      <w:bookmarkStart w:id="936" w:name="Tc_1vP3rtrKC0quPsdlk9zxOA_4_0"/>
      <w:bookmarkStart w:id="937" w:name="Tc_n0WexvrazE6eFvN4aH917A_3_14"/>
      <w:bookmarkStart w:id="938" w:name="Tc_rdIlFIHouUWizhkH4GAZdg_3_12"/>
      <w:bookmarkStart w:id="939" w:name="Tc_c2fyZc0bU0aw5B6fo7057Q_3_10"/>
      <w:bookmarkStart w:id="940" w:name="Tc_keEjkNMG7kS8w8wU7Kky0w_3_8"/>
      <w:bookmarkStart w:id="941" w:name="Tc_VYs3hxgO-0Oa2pVJ7g5vIw_3_6"/>
      <w:bookmarkStart w:id="942" w:name="Tc_NwVXNSVH30Sb5QwWX6xl1A_3_4"/>
      <w:bookmarkStart w:id="943" w:name="Tc_un7uJvsoIke_qpLmDF8fNA_3_2"/>
      <w:bookmarkStart w:id="944" w:name="Tc_8lBWxuH1lUSa0j4fK-793w_3_0"/>
      <w:bookmarkStart w:id="945" w:name="Tc_hz2DOJ2RN0K_JwleG3-FSA_2_14"/>
      <w:bookmarkStart w:id="946" w:name="Tc_BrQpDwFbaU-5R97XHcs0sg_2_12"/>
      <w:bookmarkStart w:id="947" w:name="Tc_jaDBX-njvkuMTJOODzQttA_2_10"/>
      <w:bookmarkStart w:id="948" w:name="Tc_feOVzO2yNU-Lwu5Pq0UGEA_2_8"/>
      <w:bookmarkStart w:id="949" w:name="Tc_2Tp8TgaR30i_uKbKy0yKWw_2_6"/>
      <w:bookmarkStart w:id="950" w:name="Tc_3nPSQi3U1UeazqVNBqo4Sw_2_4"/>
      <w:bookmarkStart w:id="951" w:name="Tc_9x8Q0THqkkK51pjXGDS6-w_1_6"/>
      <w:bookmarkStart w:id="952" w:name="_b34d216e_4d7e_420f_a7e9_b216173ed88c"/>
      <w:bookmarkStart w:id="953" w:name="Tc_RUmgkbXf50W5ryphK5tCqQ_15_0"/>
      <w:bookmarkStart w:id="954" w:name="Tc_EZvvZKLGWUeEZR-gihutLg_14_10"/>
      <w:bookmarkStart w:id="955" w:name="Tc_yHqixW14IkKbN5uUVpQhnw_14_8"/>
      <w:bookmarkStart w:id="956" w:name="Tc_PRwC0TZOBEmWP-xiMg4oWA_14_7"/>
      <w:bookmarkStart w:id="957" w:name="Tc_YmP_WpJUWk-kkEiLfrSseg_14_4"/>
      <w:bookmarkStart w:id="958" w:name="Tc_SsALg07yVEC3yQ6ADPKPVg_14_2"/>
      <w:bookmarkStart w:id="959" w:name="Tc_r41AWD0Mwk-qdGHNhr0x6w_14_0"/>
      <w:bookmarkStart w:id="960" w:name="Tc_sD7sTVJ7CE2MACQeAXcHIw_13_10"/>
      <w:bookmarkStart w:id="961" w:name="Tc_irSQWlBcjk-pU2Xt01YOaQ_13_8"/>
      <w:bookmarkStart w:id="962" w:name="Tc_AHdpTgkl90GAdpv1qqVKvw_13_7"/>
      <w:bookmarkStart w:id="963" w:name="Tc_9dDhcIH4D0mqHAQ6EcmrkQ_13_4"/>
      <w:bookmarkStart w:id="964" w:name="Tc_6TtHWTsZy06q2tfQZY9ABA_13_2"/>
      <w:bookmarkStart w:id="965" w:name="Tc_VOgDO9r8hEWqQY_X2iI18w_13_0"/>
      <w:bookmarkStart w:id="966" w:name="Tc_54gM_nmIS0inn46b_iM6xg_12_10"/>
      <w:bookmarkStart w:id="967" w:name="Tc_VjoVUJMYmkCQ0wdaX716_A_12_8"/>
      <w:bookmarkStart w:id="968" w:name="Tc__yuSHUltp0-FEDuZgqE5Qw_12_7"/>
      <w:bookmarkStart w:id="969" w:name="Tc_ULhKQuRGRkG1KNZsen68zA_12_4"/>
      <w:bookmarkStart w:id="970" w:name="Tc_KpL2qP8bmUeqtdK6v1qkrw_12_2"/>
      <w:bookmarkStart w:id="971" w:name="Tc_uMGij5lfE0Sgs_zaXo4CBw_12_0"/>
      <w:bookmarkStart w:id="972" w:name="Tc_YmC7f8dp1EiyDPvKPRBm9g_11_10"/>
      <w:bookmarkStart w:id="973" w:name="Tc_O0by57TDV0OYayoyZ4FO1w_11_8"/>
      <w:bookmarkStart w:id="974" w:name="Tc_XAWzwohVWEu_uaf8suQKhA_11_7"/>
      <w:bookmarkStart w:id="975" w:name="Tc_Iy03ravKv0ukJBSse3eNDw_11_4"/>
      <w:bookmarkStart w:id="976" w:name="Tc_bPNB8o6TskektYeIHlRuPw_11_2"/>
      <w:bookmarkStart w:id="977" w:name="Tc_Ck5zJ6uhAE-Ux33UClrkaA_11_0"/>
      <w:bookmarkStart w:id="978" w:name="Tc_y7Q3i3S9l0KOm4c6gtaESQ_10_10"/>
      <w:bookmarkStart w:id="979" w:name="Tc_fETQkz-cpEKnTvds_7vmiA_10_8"/>
      <w:bookmarkStart w:id="980" w:name="Tc_7_dIFzl4T0W93yNdn1tE3w_10_7"/>
      <w:bookmarkStart w:id="981" w:name="Tc_aw8PYTHD-UOjlGGNJ_25cA_10_4"/>
      <w:bookmarkStart w:id="982" w:name="Tc_daIt9JhGik-tbhNL7Gh5Lg_10_2"/>
      <w:bookmarkStart w:id="983" w:name="Tc_LeNa8WOms0yp6fViNCcQdg_10_0"/>
      <w:bookmarkStart w:id="984" w:name="Tc_4s1aFuaAg0m2N0n1kxUAqQ_9_10"/>
      <w:bookmarkStart w:id="985" w:name="Tc_bPMPiCKMVEyeu3Uv_uvMeA_9_8"/>
      <w:bookmarkStart w:id="986" w:name="Tc_Iy97cArMJE2Xb0VtVlfDQQ_9_7"/>
      <w:bookmarkStart w:id="987" w:name="Tc_jo0eg4bc5UObs0mKSL80LA_9_4"/>
      <w:bookmarkStart w:id="988" w:name="Tc_iEYKNbkly0eza9LcdFnjOA_9_2"/>
      <w:bookmarkStart w:id="989" w:name="Tc_B7GujovWd0Os503VvMZlgw_9_0"/>
      <w:bookmarkStart w:id="990" w:name="Tc_YftmFyvznkmuHoU8VUTPww_8_10"/>
      <w:bookmarkStart w:id="991" w:name="Tc_iuLrs5ISIEOTMDCjC2Fv1Q_8_8"/>
      <w:bookmarkStart w:id="992" w:name="Tc__r4gY_29ekK-51wx6eJbMg_8_7"/>
      <w:bookmarkStart w:id="993" w:name="Tc_eaH7z-cbsUad05uCShv8Hw_8_4"/>
      <w:bookmarkStart w:id="994" w:name="Tc_QX8P7EKf5E61AdxoA-3tIA_8_2"/>
      <w:bookmarkStart w:id="995" w:name="Tc_Sf4c9oDet0yxpNKlhtzNoA_8_0"/>
      <w:bookmarkStart w:id="996" w:name="Tc_fPZDgclC-k-dpRFj6_2-xQ_7_10"/>
      <w:bookmarkStart w:id="997" w:name="Tc_meBXBnPGXUeL9ZigFHNunA_7_8"/>
      <w:bookmarkStart w:id="998" w:name="Tc_MZAwpLAjdkquVQyo9cl9Mw_7_7"/>
      <w:bookmarkStart w:id="999" w:name="Tc_XBo4-WP_o0q1-mLB7AnxeA_7_4"/>
      <w:bookmarkStart w:id="1000" w:name="Tc_Zk5jUqVJ4060pr8o2tAjFQ_7_2"/>
      <w:bookmarkStart w:id="1001" w:name="Tc_MO7oFIvIfU6M7V7f6K6uyQ_7_0"/>
      <w:bookmarkStart w:id="1002" w:name="Tc_Rd_dgZHDHUig_Sx76xdZDw_6_10"/>
      <w:bookmarkStart w:id="1003" w:name="Tc_mHQZREdq2Eyryj1oFASXqQ_6_8"/>
      <w:bookmarkStart w:id="1004" w:name="Tc_YJf5bSDND0mWtjbJ1ACDXw_6_7"/>
      <w:bookmarkStart w:id="1005" w:name="Tc_aGWHC0gWR0CgOq_lmo-yCg_6_4"/>
      <w:bookmarkStart w:id="1006" w:name="Tc_aE3HZDD4zk2p_IpbuKh3Mw_6_2"/>
      <w:bookmarkStart w:id="1007" w:name="Tc_jnjrdpN2P0C1KWNR_gC--g_6_0"/>
      <w:bookmarkStart w:id="1008" w:name="Tc_C0YOvlBMBES7t2tfc7JySA_5_10"/>
      <w:bookmarkStart w:id="1009" w:name="Tc_LxMgJofOu0WFYc8UWYJExg_5_8"/>
      <w:bookmarkStart w:id="1010" w:name="Tc_7IQxTBbleEyJdXsYRuV_bg_5_7"/>
      <w:bookmarkStart w:id="1011" w:name="Tc_at29eGVSbkCFcw_FPl62nw_5_4"/>
      <w:bookmarkStart w:id="1012" w:name="Tc_B_5RhjXIvkmUMf2ZEC0j7Q_5_2"/>
      <w:bookmarkStart w:id="1013" w:name="Tc_9CKnga6r2ku3WBX6JDnpmQ_5_0"/>
      <w:bookmarkStart w:id="1014" w:name="Tc_WE4FMuuk8k229IqLtAqr8A_4_10"/>
      <w:bookmarkStart w:id="1015" w:name="Tc_4nkJSYyQckOz7FaSGcXeeg_4_8"/>
      <w:bookmarkStart w:id="1016" w:name="Tc_yHDhaa2MQEaMLhzTt_ilsg_4_7"/>
      <w:bookmarkStart w:id="1017" w:name="Tc_e34RSBtlvU2cdxmYqbtiPw_4_4"/>
      <w:bookmarkStart w:id="1018" w:name="Tc_PtNQkmQDoU2lFNpPZD34bQ_4_2"/>
      <w:bookmarkStart w:id="1019" w:name="Tc_x_2Au7kKlECgnzhpBI8gyA_4_0"/>
      <w:bookmarkStart w:id="1020" w:name="Tc_yW9r3QQjSUmIcl4wvd-cew_3_14"/>
      <w:bookmarkStart w:id="1021" w:name="Tc_mmyJXVE9LUCnfiBhc3InDA_3_12"/>
      <w:bookmarkStart w:id="1022" w:name="Tc_fKEiXWfCNkuX7IsFVkDt-A_3_10"/>
      <w:bookmarkStart w:id="1023" w:name="Tc_KZURh0Tspkuoau0am8VUpg_3_8"/>
      <w:bookmarkStart w:id="1024" w:name="Tc_EWOdXeZPZEGF_Nxi6FbQyg_3_6"/>
      <w:bookmarkStart w:id="1025" w:name="Tc_zQH2bWnUvkSVw4eXGgYDWQ_3_4"/>
      <w:bookmarkStart w:id="1026" w:name="Tc_YjlJjCADw0SJffpKlE8JIg_3_2"/>
      <w:bookmarkStart w:id="1027" w:name="Tc_Y7gbI0E9JEGFVdjbEC28rg_3_0"/>
      <w:bookmarkStart w:id="1028" w:name="Tc_cekcCGqh4UqXsNp4_FviSg_2_14"/>
      <w:bookmarkStart w:id="1029" w:name="Tc_B-AkcnMj7k-Uoxz1LsP2OQ_2_12"/>
      <w:bookmarkStart w:id="1030" w:name="Tc_WVR2IZrXDkOILA8OSBBk_Q_2_10"/>
      <w:bookmarkStart w:id="1031" w:name="Tc_VmqWEfxHhUaqnyVw1Vrp5g_2_8"/>
      <w:bookmarkStart w:id="1032" w:name="Tc_inqtrIVlv0m9GkoIm5TJiw_2_6"/>
      <w:bookmarkStart w:id="1033" w:name="Tc_6vn0CGj9QUa3434va4QynQ_2_4"/>
      <w:bookmarkStart w:id="1034" w:name="Tc_pqPA_cMi8U-PdXsu13wNYQ_1_6"/>
      <w:bookmarkStart w:id="1035" w:name="_a3f44841_7781_4c8c_a50a_57a8f44dca3f"/>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sz w:val="20"/>
        </w:rPr>
        <w:t>NOTE 6 — SHORT-TERM BANK LOANS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bank loans are working capital loans from banks in China. Short-term bank loans as of June 30, 2026 consisted of the following:</w:t>
      </w:r>
    </w:p>
    <w:tbl>
      <w:tblPr>
        <w:tblW w:w="10205" w:type="dxa"/>
        <w:jc w:val="left"/>
        <w:tblInd w:w="0" w:type="dxa"/>
        <w:tblLayout w:type="fixed"/>
        <w:tblCellMar>
          <w:top w:w="0" w:type="dxa"/>
          <w:left w:w="0" w:type="dxa"/>
          <w:bottom w:w="0" w:type="dxa"/>
          <w:right w:w="0" w:type="dxa"/>
        </w:tblCellMar>
      </w:tblPr>
      <w:tblGrid>
        <w:gridCol w:w="1848"/>
        <w:gridCol w:w="346"/>
        <w:gridCol w:w="929"/>
        <w:gridCol w:w="346"/>
        <w:gridCol w:w="1116"/>
        <w:gridCol w:w="346"/>
        <w:gridCol w:w="636"/>
        <w:gridCol w:w="346"/>
        <w:gridCol w:w="767"/>
        <w:gridCol w:w="346"/>
        <w:gridCol w:w="860"/>
        <w:gridCol w:w="346"/>
        <w:gridCol w:w="766"/>
        <w:gridCol w:w="346"/>
        <w:gridCol w:w="861"/>
      </w:tblGrid>
      <w:tr>
        <w:trPr/>
        <w:tc>
          <w:tcPr>
            <w:tcW w:w="1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73480" cy="175260"/>
                      <wp:effectExtent l="0" t="0" r="0" b="0"/>
                      <wp:wrapNone/>
                      <wp:docPr id="137" name="Frame137"/>
                      <a:graphic xmlns:a="http://schemas.openxmlformats.org/drawingml/2006/main">
                        <a:graphicData uri="http://schemas.microsoft.com/office/word/2010/wordprocessingShape">
                          <wps:wsp>
                            <wps:cNvSpPr txBox="1"/>
                            <wps:spPr>
                              <a:xfrm>
                                <a:off x="0" y="0"/>
                                <a:ext cx="1173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89915" cy="175260"/>
                      <wp:effectExtent l="0" t="0" r="0" b="0"/>
                      <wp:wrapNone/>
                      <wp:docPr id="139" name="Frame139"/>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08660" cy="175260"/>
                      <wp:effectExtent l="0" t="0" r="0" b="0"/>
                      <wp:wrapNone/>
                      <wp:docPr id="141" name="Frame141"/>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03860" cy="175260"/>
                      <wp:effectExtent l="0" t="0" r="0" b="0"/>
                      <wp:wrapNone/>
                      <wp:docPr id="143" name="Frame143"/>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87045" cy="175260"/>
                      <wp:effectExtent l="0" t="0" r="0" b="0"/>
                      <wp:wrapNone/>
                      <wp:docPr id="145" name="Frame14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46100" cy="175260"/>
                      <wp:effectExtent l="0" t="0" r="0" b="0"/>
                      <wp:wrapNone/>
                      <wp:docPr id="147" name="Frame14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86410" cy="175260"/>
                      <wp:effectExtent l="0" t="0" r="0" b="0"/>
                      <wp:wrapNone/>
                      <wp:docPr id="149" name="Frame1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46735" cy="175260"/>
                      <wp:effectExtent l="0" t="0" r="0" b="0"/>
                      <wp:wrapNone/>
                      <wp:docPr id="151" name="Frame15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Effective </w:t>
            </w:r>
          </w:p>
        </w:tc>
        <w:tc>
          <w:tcPr>
            <w:tcW w:w="346" w:type="dxa"/>
            <w:tcBorders/>
            <w:vAlign w:val="center"/>
          </w:tcPr>
          <w:p>
            <w:pPr>
              <w:pStyle w:val="TableContents"/>
              <w:bidi w:val="0"/>
              <w:spacing w:before="0" w:after="1"/>
              <w:ind w:left="0" w:right="0" w:hanging="0"/>
              <w:jc w:val="left"/>
              <w:rPr/>
            </w:pPr>
            <w:r>
              <w:rPr/>
              <w:t>  ​ ​ ​</w:t>
            </w:r>
          </w:p>
        </w:tc>
        <w:tc>
          <w:tcPr>
            <w:tcW w:w="7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8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1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Guarantors/ </w:t>
            </w:r>
          </w:p>
        </w:tc>
        <w:tc>
          <w:tcPr>
            <w:tcW w:w="346" w:type="dxa"/>
            <w:tcBorders/>
            <w:vAlign w:val="center"/>
          </w:tcPr>
          <w:p>
            <w:pPr>
              <w:pStyle w:val="TableContents"/>
              <w:bidi w:val="0"/>
              <w:spacing w:before="0" w:after="1"/>
              <w:ind w:left="0" w:right="0" w:hanging="0"/>
              <w:jc w:val="center"/>
              <w:rPr/>
            </w:pPr>
            <w:r>
              <w:rPr/>
              <w:t>​</w:t>
            </w:r>
          </w:p>
        </w:tc>
        <w:tc>
          <w:tcPr>
            <w:tcW w:w="6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Interest </w:t>
            </w:r>
          </w:p>
        </w:tc>
        <w:tc>
          <w:tcPr>
            <w:tcW w:w="34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Issuance </w:t>
            </w:r>
          </w:p>
        </w:tc>
        <w:tc>
          <w:tcPr>
            <w:tcW w:w="346"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Amount- </w:t>
            </w:r>
          </w:p>
        </w:tc>
        <w:tc>
          <w:tcPr>
            <w:tcW w:w="346"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r>
      <w:tr>
        <w:trPr/>
        <w:tc>
          <w:tcPr>
            <w:tcW w:w="1848"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Lender</w:t>
            </w:r>
          </w:p>
        </w:tc>
        <w:tc>
          <w:tcPr>
            <w:tcW w:w="346" w:type="dxa"/>
            <w:tcBorders/>
            <w:vAlign w:val="center"/>
          </w:tcPr>
          <w:p>
            <w:pPr>
              <w:pStyle w:val="TableContents"/>
              <w:bidi w:val="0"/>
              <w:spacing w:before="0" w:after="1"/>
              <w:ind w:left="0" w:right="0" w:hanging="0"/>
              <w:jc w:val="center"/>
              <w:rPr/>
            </w:pPr>
            <w:r>
              <w:rPr/>
              <w:t>  ​ ​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Company</w:t>
            </w:r>
          </w:p>
        </w:tc>
        <w:tc>
          <w:tcPr>
            <w:tcW w:w="346" w:type="dxa"/>
            <w:tcBorders/>
            <w:vAlign w:val="center"/>
          </w:tcPr>
          <w:p>
            <w:pPr>
              <w:pStyle w:val="TableContents"/>
              <w:bidi w:val="0"/>
              <w:spacing w:before="0" w:after="1"/>
              <w:ind w:left="0" w:right="0" w:hanging="0"/>
              <w:jc w:val="center"/>
              <w:rPr/>
            </w:pPr>
            <w:r>
              <w:rPr/>
              <w:t>  ​ ​ ​</w:t>
            </w:r>
          </w:p>
        </w:tc>
        <w:tc>
          <w:tcPr>
            <w:tcW w:w="11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Collateral</w:t>
            </w:r>
          </w:p>
        </w:tc>
        <w:tc>
          <w:tcPr>
            <w:tcW w:w="346" w:type="dxa"/>
            <w:tcBorders/>
            <w:vAlign w:val="center"/>
          </w:tcPr>
          <w:p>
            <w:pPr>
              <w:pStyle w:val="TableContents"/>
              <w:bidi w:val="0"/>
              <w:spacing w:before="0" w:after="1"/>
              <w:ind w:left="0" w:right="0" w:hanging="0"/>
              <w:jc w:val="center"/>
              <w:rPr/>
            </w:pPr>
            <w:r>
              <w:rPr/>
              <w:t>  ​ ​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1"/>
              <w:ind w:left="0" w:right="0" w:hanging="0"/>
              <w:jc w:val="left"/>
              <w:rPr/>
            </w:pPr>
            <w:r>
              <w:rPr/>
              <w:t>  ​ ​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18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w:t>
            </w:r>
          </w:p>
        </w:tc>
        <w:tc>
          <w:tcPr>
            <w:tcW w:w="34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October 5, 2025</w:t>
            </w:r>
          </w:p>
        </w:tc>
        <w:tc>
          <w:tcPr>
            <w:tcW w:w="34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August 7, 2026</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1,474,000</w:t>
            </w:r>
          </w:p>
        </w:tc>
      </w:tr>
      <w:tr>
        <w:trPr/>
        <w:tc>
          <w:tcPr>
            <w:tcW w:w="184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China Taicang Branch</w:t>
            </w:r>
          </w:p>
        </w:tc>
        <w:tc>
          <w:tcPr>
            <w:tcW w:w="34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 </w:t>
            </w:r>
          </w:p>
        </w:tc>
        <w:tc>
          <w:tcPr>
            <w:tcW w:w="11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Changcheng/Baide capital</w:t>
            </w:r>
          </w:p>
        </w:tc>
        <w:tc>
          <w:tcPr>
            <w:tcW w:w="346"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June 12, 2026</w:t>
            </w:r>
          </w:p>
        </w:tc>
        <w:tc>
          <w:tcPr>
            <w:tcW w:w="34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11, 2026</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8,000,000</w:t>
            </w:r>
          </w:p>
        </w:tc>
        <w:tc>
          <w:tcPr>
            <w:tcW w:w="346"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1,179,200</w:t>
            </w:r>
          </w:p>
        </w:tc>
      </w:tr>
      <w:tr>
        <w:trPr/>
        <w:tc>
          <w:tcPr>
            <w:tcW w:w="18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29, 2025</w:t>
            </w:r>
          </w:p>
        </w:tc>
        <w:tc>
          <w:tcPr>
            <w:tcW w:w="34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29, 2026</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737,000</w:t>
            </w:r>
          </w:p>
        </w:tc>
      </w:tr>
      <w:tr>
        <w:trPr/>
        <w:tc>
          <w:tcPr>
            <w:tcW w:w="184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 </w:t>
            </w:r>
          </w:p>
        </w:tc>
        <w:tc>
          <w:tcPr>
            <w:tcW w:w="11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 2025</w:t>
            </w:r>
          </w:p>
        </w:tc>
        <w:tc>
          <w:tcPr>
            <w:tcW w:w="34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22, 2026</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737,000</w:t>
            </w:r>
          </w:p>
        </w:tc>
      </w:tr>
      <w:tr>
        <w:trPr/>
        <w:tc>
          <w:tcPr>
            <w:tcW w:w="18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January 19, 2026</w:t>
            </w:r>
          </w:p>
        </w:tc>
        <w:tc>
          <w:tcPr>
            <w:tcW w:w="34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1,474,000</w:t>
            </w:r>
          </w:p>
        </w:tc>
      </w:tr>
      <w:tr>
        <w:trPr/>
        <w:tc>
          <w:tcPr>
            <w:tcW w:w="184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Jiangsu Taicang Rural Commercial Bank Co., Ltd. Xinmao Sub-branch</w:t>
            </w:r>
          </w:p>
        </w:tc>
        <w:tc>
          <w:tcPr>
            <w:tcW w:w="34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 </w:t>
            </w:r>
          </w:p>
        </w:tc>
        <w:tc>
          <w:tcPr>
            <w:tcW w:w="11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26, 2026</w:t>
            </w:r>
          </w:p>
        </w:tc>
        <w:tc>
          <w:tcPr>
            <w:tcW w:w="34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25, 2027</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1,474,000</w:t>
            </w:r>
          </w:p>
        </w:tc>
      </w:tr>
      <w:tr>
        <w:trPr/>
        <w:tc>
          <w:tcPr>
            <w:tcW w:w="18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 Limited Taicang Floating Bridge Branch</w:t>
            </w:r>
          </w:p>
        </w:tc>
        <w:tc>
          <w:tcPr>
            <w:tcW w:w="34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26, 2026</w:t>
            </w:r>
          </w:p>
        </w:tc>
        <w:tc>
          <w:tcPr>
            <w:tcW w:w="34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 2027</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4,000,000</w:t>
            </w:r>
          </w:p>
        </w:tc>
        <w:tc>
          <w:tcPr>
            <w:tcW w:w="346"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589,600</w:t>
            </w:r>
          </w:p>
        </w:tc>
      </w:tr>
      <w:tr>
        <w:trPr/>
        <w:tc>
          <w:tcPr>
            <w:tcW w:w="184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 </w:t>
            </w:r>
          </w:p>
        </w:tc>
        <w:tc>
          <w:tcPr>
            <w:tcW w:w="11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26, 2026</w:t>
            </w:r>
          </w:p>
        </w:tc>
        <w:tc>
          <w:tcPr>
            <w:tcW w:w="34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25, 2027</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w:t>
            </w:r>
          </w:p>
        </w:tc>
        <w:tc>
          <w:tcPr>
            <w:tcW w:w="346"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147,400</w:t>
            </w:r>
          </w:p>
        </w:tc>
      </w:tr>
      <w:tr>
        <w:trPr/>
        <w:tc>
          <w:tcPr>
            <w:tcW w:w="18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23, 2026</w:t>
            </w:r>
          </w:p>
        </w:tc>
        <w:tc>
          <w:tcPr>
            <w:tcW w:w="34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22, 2027</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6,000,000</w:t>
            </w:r>
          </w:p>
        </w:tc>
        <w:tc>
          <w:tcPr>
            <w:tcW w:w="346"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884,400</w:t>
            </w:r>
          </w:p>
        </w:tc>
      </w:tr>
      <w:tr>
        <w:trPr/>
        <w:tc>
          <w:tcPr>
            <w:tcW w:w="184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 </w:t>
            </w:r>
          </w:p>
        </w:tc>
        <w:tc>
          <w:tcPr>
            <w:tcW w:w="11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26, 2026</w:t>
            </w:r>
          </w:p>
        </w:tc>
        <w:tc>
          <w:tcPr>
            <w:tcW w:w="34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26, 2027</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4,000,000</w:t>
            </w:r>
          </w:p>
        </w:tc>
        <w:tc>
          <w:tcPr>
            <w:tcW w:w="346"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589,600</w:t>
            </w:r>
          </w:p>
        </w:tc>
      </w:tr>
      <w:tr>
        <w:trPr/>
        <w:tc>
          <w:tcPr>
            <w:tcW w:w="184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22, 2026</w:t>
            </w:r>
          </w:p>
        </w:tc>
        <w:tc>
          <w:tcPr>
            <w:tcW w:w="346"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November 20,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1,474,000</w:t>
            </w:r>
          </w:p>
        </w:tc>
      </w:tr>
      <w:tr>
        <w:trPr/>
        <w:tc>
          <w:tcPr>
            <w:tcW w:w="1848"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 xml:space="preserve">Total </w:t>
            </w:r>
          </w:p>
        </w:tc>
        <w:tc>
          <w:tcPr>
            <w:tcW w:w="34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73,000,000</w:t>
            </w:r>
          </w:p>
        </w:tc>
        <w:tc>
          <w:tcPr>
            <w:tcW w:w="346" w:type="dxa"/>
            <w:tcBorders/>
            <w:vAlign w:val="center"/>
          </w:tcPr>
          <w:p>
            <w:pPr>
              <w:pStyle w:val="TableContents"/>
              <w:bidi w:val="0"/>
              <w:spacing w:before="0" w:after="1"/>
              <w:ind w:left="0" w:right="0" w:hanging="0"/>
              <w:jc w:val="right"/>
              <w:rPr/>
            </w:pPr>
            <w:r>
              <w:rPr/>
              <w:t>​</w:t>
            </w:r>
          </w:p>
        </w:tc>
        <w:tc>
          <w:tcPr>
            <w:tcW w:w="86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10,760,200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bank loans as of December 31, 2025 consisted of the following:</w:t>
      </w:r>
    </w:p>
    <w:tbl>
      <w:tblPr>
        <w:tblW w:w="10205" w:type="dxa"/>
        <w:jc w:val="left"/>
        <w:tblInd w:w="0" w:type="dxa"/>
        <w:tblLayout w:type="fixed"/>
        <w:tblCellMar>
          <w:top w:w="0" w:type="dxa"/>
          <w:left w:w="0" w:type="dxa"/>
          <w:bottom w:w="0" w:type="dxa"/>
          <w:right w:w="0" w:type="dxa"/>
        </w:tblCellMar>
      </w:tblPr>
      <w:tblGrid>
        <w:gridCol w:w="1539"/>
        <w:gridCol w:w="346"/>
        <w:gridCol w:w="987"/>
        <w:gridCol w:w="346"/>
        <w:gridCol w:w="1253"/>
        <w:gridCol w:w="346"/>
        <w:gridCol w:w="640"/>
        <w:gridCol w:w="346"/>
        <w:gridCol w:w="826"/>
        <w:gridCol w:w="346"/>
        <w:gridCol w:w="913"/>
        <w:gridCol w:w="346"/>
        <w:gridCol w:w="766"/>
        <w:gridCol w:w="346"/>
        <w:gridCol w:w="859"/>
      </w:tblGrid>
      <w:tr>
        <w:trPr/>
        <w:tc>
          <w:tcPr>
            <w:tcW w:w="1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77265" cy="175260"/>
                      <wp:effectExtent l="0" t="0" r="0" b="0"/>
                      <wp:wrapNone/>
                      <wp:docPr id="152" name="Frame152"/>
                      <a:graphic xmlns:a="http://schemas.openxmlformats.org/drawingml/2006/main">
                        <a:graphicData uri="http://schemas.microsoft.com/office/word/2010/wordprocessingShape">
                          <wps:wsp>
                            <wps:cNvSpPr txBox="1"/>
                            <wps:spPr>
                              <a:xfrm>
                                <a:off x="0" y="0"/>
                                <a:ext cx="977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26745" cy="175260"/>
                      <wp:effectExtent l="0" t="0" r="0" b="0"/>
                      <wp:wrapNone/>
                      <wp:docPr id="154" name="Frame154"/>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95655" cy="175260"/>
                      <wp:effectExtent l="0" t="0" r="0" b="0"/>
                      <wp:wrapNone/>
                      <wp:docPr id="156" name="Frame156"/>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06400" cy="175260"/>
                      <wp:effectExtent l="0" t="0" r="0" b="0"/>
                      <wp:wrapNone/>
                      <wp:docPr id="158" name="Frame15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4510" cy="175260"/>
                      <wp:effectExtent l="0" t="0" r="0" b="0"/>
                      <wp:wrapNone/>
                      <wp:docPr id="160" name="Frame16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79755" cy="175260"/>
                      <wp:effectExtent l="0" t="0" r="0" b="0"/>
                      <wp:wrapNone/>
                      <wp:docPr id="162" name="Frame162"/>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86410" cy="175260"/>
                      <wp:effectExtent l="0" t="0" r="0" b="0"/>
                      <wp:wrapNone/>
                      <wp:docPr id="164" name="Frame16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45465" cy="175260"/>
                      <wp:effectExtent l="0" t="0" r="0" b="0"/>
                      <wp:wrapNone/>
                      <wp:docPr id="166" name="Frame16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8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5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Effective </w:t>
            </w:r>
          </w:p>
        </w:tc>
        <w:tc>
          <w:tcPr>
            <w:tcW w:w="346" w:type="dxa"/>
            <w:tcBorders/>
            <w:vAlign w:val="center"/>
          </w:tcPr>
          <w:p>
            <w:pPr>
              <w:pStyle w:val="TableContents"/>
              <w:bidi w:val="0"/>
              <w:spacing w:before="0" w:after="1"/>
              <w:ind w:left="0" w:right="0" w:hanging="0"/>
              <w:jc w:val="left"/>
              <w:rPr/>
            </w:pPr>
            <w:r>
              <w:rPr/>
              <w:t>  ​ ​ ​</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59" w:type="dxa"/>
            <w:tcBorders/>
            <w:vAlign w:val="center"/>
          </w:tcPr>
          <w:p>
            <w:pPr>
              <w:pStyle w:val="TableContents"/>
              <w:bidi w:val="0"/>
              <w:spacing w:before="0" w:after="1"/>
              <w:ind w:left="0" w:right="0" w:hanging="0"/>
              <w:jc w:val="center"/>
              <w:rPr/>
            </w:pPr>
            <w:r>
              <w:rPr/>
              <w:t>​</w:t>
            </w:r>
          </w:p>
        </w:tc>
      </w:tr>
      <w:tr>
        <w:trPr/>
        <w:tc>
          <w:tcPr>
            <w:tcW w:w="1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8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3"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Guarantors/</w:t>
            </w:r>
          </w:p>
        </w:tc>
        <w:tc>
          <w:tcPr>
            <w:tcW w:w="346" w:type="dxa"/>
            <w:tcBorders/>
            <w:vAlign w:val="center"/>
          </w:tcPr>
          <w:p>
            <w:pPr>
              <w:pStyle w:val="TableContents"/>
              <w:bidi w:val="0"/>
              <w:spacing w:before="0" w:after="1"/>
              <w:ind w:left="0" w:right="0" w:hanging="0"/>
              <w:jc w:val="center"/>
              <w:rPr/>
            </w:pPr>
            <w:r>
              <w:rPr/>
              <w:t>​</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Interest </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Issuance</w:t>
            </w:r>
          </w:p>
        </w:tc>
        <w:tc>
          <w:tcPr>
            <w:tcW w:w="346" w:type="dxa"/>
            <w:tcBorders/>
            <w:vAlign w:val="center"/>
          </w:tcPr>
          <w:p>
            <w:pPr>
              <w:pStyle w:val="TableContents"/>
              <w:bidi w:val="0"/>
              <w:spacing w:before="0" w:after="1"/>
              <w:ind w:left="0" w:right="0" w:hanging="0"/>
              <w:jc w:val="center"/>
              <w:rPr/>
            </w:pPr>
            <w:r>
              <w:rPr/>
              <w:t>​</w:t>
            </w:r>
          </w:p>
        </w:tc>
        <w:tc>
          <w:tcPr>
            <w:tcW w:w="913"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Amount- </w:t>
            </w:r>
          </w:p>
        </w:tc>
        <w:tc>
          <w:tcPr>
            <w:tcW w:w="346" w:type="dxa"/>
            <w:tcBorders/>
            <w:vAlign w:val="center"/>
          </w:tcPr>
          <w:p>
            <w:pPr>
              <w:pStyle w:val="TableContents"/>
              <w:bidi w:val="0"/>
              <w:spacing w:before="0" w:after="1"/>
              <w:ind w:left="0" w:right="0" w:hanging="0"/>
              <w:jc w:val="center"/>
              <w:rPr/>
            </w:pPr>
            <w:r>
              <w:rPr/>
              <w:t>​</w:t>
            </w:r>
          </w:p>
        </w:tc>
        <w:tc>
          <w:tcPr>
            <w:tcW w:w="859"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r>
      <w:tr>
        <w:trPr/>
        <w:tc>
          <w:tcPr>
            <w:tcW w:w="153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Lender</w:t>
            </w:r>
          </w:p>
        </w:tc>
        <w:tc>
          <w:tcPr>
            <w:tcW w:w="346" w:type="dxa"/>
            <w:tcBorders/>
            <w:vAlign w:val="center"/>
          </w:tcPr>
          <w:p>
            <w:pPr>
              <w:pStyle w:val="TableContents"/>
              <w:bidi w:val="0"/>
              <w:spacing w:before="0" w:after="1"/>
              <w:ind w:left="0" w:right="0" w:hanging="0"/>
              <w:jc w:val="center"/>
              <w:rPr/>
            </w:pPr>
            <w:r>
              <w:rPr/>
              <w:t>  ​ ​ ​</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Company</w:t>
            </w:r>
          </w:p>
        </w:tc>
        <w:tc>
          <w:tcPr>
            <w:tcW w:w="346" w:type="dxa"/>
            <w:tcBorders/>
            <w:vAlign w:val="center"/>
          </w:tcPr>
          <w:p>
            <w:pPr>
              <w:pStyle w:val="TableContents"/>
              <w:bidi w:val="0"/>
              <w:spacing w:before="0" w:after="1"/>
              <w:ind w:left="0" w:right="0" w:hanging="0"/>
              <w:jc w:val="center"/>
              <w:rPr/>
            </w:pPr>
            <w:r>
              <w:rPr/>
              <w:t>  ​ ​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Collateral</w:t>
            </w:r>
          </w:p>
        </w:tc>
        <w:tc>
          <w:tcPr>
            <w:tcW w:w="346" w:type="dxa"/>
            <w:tcBorders/>
            <w:vAlign w:val="center"/>
          </w:tcPr>
          <w:p>
            <w:pPr>
              <w:pStyle w:val="TableContents"/>
              <w:bidi w:val="0"/>
              <w:spacing w:before="0" w:after="1"/>
              <w:ind w:left="0" w:right="0" w:hanging="0"/>
              <w:jc w:val="center"/>
              <w:rPr/>
            </w:pPr>
            <w:r>
              <w:rPr/>
              <w:t>  ​ ​ ​</w:t>
            </w:r>
          </w:p>
        </w:tc>
        <w:tc>
          <w:tcPr>
            <w:tcW w:w="6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15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w:t>
            </w:r>
          </w:p>
        </w:tc>
        <w:tc>
          <w:tcPr>
            <w:tcW w:w="34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October 5, 2025</w:t>
            </w:r>
          </w:p>
        </w:tc>
        <w:tc>
          <w:tcPr>
            <w:tcW w:w="34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August 7,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Hangzhou</w:t>
            </w:r>
          </w:p>
        </w:tc>
        <w:tc>
          <w:tcPr>
            <w:tcW w:w="34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26, 2025</w:t>
            </w:r>
          </w:p>
        </w:tc>
        <w:tc>
          <w:tcPr>
            <w:tcW w:w="34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25,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China Taicang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Baihui</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15, 2025</w:t>
            </w:r>
          </w:p>
        </w:tc>
        <w:tc>
          <w:tcPr>
            <w:tcW w:w="34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June 14,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1,144,000</w:t>
            </w:r>
          </w:p>
        </w:tc>
      </w:tr>
      <w:tr>
        <w:trPr/>
        <w:tc>
          <w:tcPr>
            <w:tcW w:w="15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Changcheng/Baide capital</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 2025</w:t>
            </w:r>
          </w:p>
        </w:tc>
        <w:tc>
          <w:tcPr>
            <w:tcW w:w="34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29, 2025</w:t>
            </w:r>
          </w:p>
        </w:tc>
        <w:tc>
          <w:tcPr>
            <w:tcW w:w="34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29,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 2025</w:t>
            </w:r>
          </w:p>
        </w:tc>
        <w:tc>
          <w:tcPr>
            <w:tcW w:w="34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22,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Bank Jiangning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7, 2025</w:t>
            </w:r>
          </w:p>
        </w:tc>
        <w:tc>
          <w:tcPr>
            <w:tcW w:w="34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5,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4,950,000</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707,850</w:t>
            </w:r>
          </w:p>
        </w:tc>
      </w:tr>
      <w:tr>
        <w:trPr/>
        <w:tc>
          <w:tcPr>
            <w:tcW w:w="15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w:t>
            </w:r>
          </w:p>
        </w:tc>
        <w:tc>
          <w:tcPr>
            <w:tcW w:w="34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18, 2025</w:t>
            </w:r>
          </w:p>
        </w:tc>
        <w:tc>
          <w:tcPr>
            <w:tcW w:w="34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13,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vAlign w:val="center"/>
          </w:tcPr>
          <w:p>
            <w:pPr>
              <w:pStyle w:val="TableContents"/>
              <w:bidi w:val="0"/>
              <w:spacing w:before="0" w:after="1"/>
              <w:ind w:left="0" w:right="0" w:hanging="0"/>
              <w:jc w:val="righ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 2025</w:t>
            </w:r>
          </w:p>
        </w:tc>
        <w:tc>
          <w:tcPr>
            <w:tcW w:w="34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858,000</w:t>
            </w:r>
          </w:p>
        </w:tc>
      </w:tr>
      <w:tr>
        <w:trPr/>
        <w:tc>
          <w:tcPr>
            <w:tcW w:w="15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14, 2025</w:t>
            </w:r>
          </w:p>
        </w:tc>
        <w:tc>
          <w:tcPr>
            <w:tcW w:w="34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14,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4,000,000</w:t>
            </w:r>
          </w:p>
        </w:tc>
        <w:tc>
          <w:tcPr>
            <w:tcW w:w="346" w:type="dxa"/>
            <w:tcBorders/>
            <w:vAlign w:val="center"/>
          </w:tcPr>
          <w:p>
            <w:pPr>
              <w:pStyle w:val="TableContents"/>
              <w:bidi w:val="0"/>
              <w:spacing w:before="0" w:after="1"/>
              <w:ind w:left="0" w:right="0" w:hanging="0"/>
              <w:jc w:val="righ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572,000</w:t>
            </w:r>
          </w:p>
        </w:tc>
      </w:tr>
      <w:tr>
        <w:trPr/>
        <w:tc>
          <w:tcPr>
            <w:tcW w:w="15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22, 2025</w:t>
            </w:r>
          </w:p>
        </w:tc>
        <w:tc>
          <w:tcPr>
            <w:tcW w:w="34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20,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39"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 xml:space="preserve">Total </w:t>
            </w:r>
          </w:p>
        </w:tc>
        <w:tc>
          <w:tcPr>
            <w:tcW w:w="34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72,950,000</w:t>
            </w:r>
          </w:p>
        </w:tc>
        <w:tc>
          <w:tcPr>
            <w:tcW w:w="346" w:type="dxa"/>
            <w:tcBorders/>
            <w:vAlign w:val="center"/>
          </w:tcPr>
          <w:p>
            <w:pPr>
              <w:pStyle w:val="TableContents"/>
              <w:bidi w:val="0"/>
              <w:spacing w:before="0" w:after="1"/>
              <w:ind w:left="0" w:right="0" w:hanging="0"/>
              <w:jc w:val="right"/>
              <w:rPr/>
            </w:pPr>
            <w:r>
              <w:rPr/>
              <w:t>​</w:t>
            </w:r>
          </w:p>
        </w:tc>
        <w:tc>
          <w:tcPr>
            <w:tcW w:w="859"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10,431,850</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$144,678 and $172,267 for the six months ended June 30, 2025 and 2026, respectively.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036" w:name="Tc_lIyBcBpPEEu-4whlVbqyFQ_8_5"/>
      <w:bookmarkStart w:id="1037" w:name="Tc_o2irAAbRF0SF1vZYsNtoSw_8_2"/>
      <w:bookmarkStart w:id="1038" w:name="Tc_iOKJ0p2xjESRZJcY3ddv9Q_8_0"/>
      <w:bookmarkStart w:id="1039" w:name="Tc_tCmbwb-L8UCBg0GEK10RwA_7_0"/>
      <w:bookmarkStart w:id="1040" w:name="Tc_YT2rwC-fD0q6ynSXCy0xxw_6_0"/>
      <w:bookmarkStart w:id="1041" w:name="Tc_q2IcaUDDX0-AAwpQiTl0OA_5_6"/>
      <w:bookmarkStart w:id="1042" w:name="Tc_6WISeYKvqEqNmQnO_G1Y0w_5_0"/>
      <w:bookmarkStart w:id="1043" w:name="Tc_xNmIpmLxvkWdCtqldRQ2HA_4_0"/>
      <w:bookmarkStart w:id="1044" w:name="Tc_dZpu7JJTqEmxB1v-8tVbUQ_3_5"/>
      <w:bookmarkStart w:id="1045" w:name="Tc_H9gKxvXc-0OHmr2GXdN8hQ_3_2"/>
      <w:bookmarkStart w:id="1046" w:name="Tc_Ja_Hc13qdEiMGObda_Dm8A_3_0"/>
      <w:bookmarkStart w:id="1047" w:name="Tc_HygIoLmJzk-xPJ__ocrZvg_2_5"/>
      <w:bookmarkStart w:id="1048" w:name="Tc_k55YeXmqik-R47EyKmqUow_2_2"/>
      <w:bookmarkStart w:id="1049" w:name="Tc_PfSLd5XKtkeXnjmRzWUvYA_1_2"/>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ascii="Times New Roman;Times;serif" w:hAnsi="Times New Roman;Times;serif"/>
          <w:b/>
          <w:sz w:val="20"/>
        </w:rPr>
        <w:t>NOTE 7 — LONG-TERM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loan consisted of the following:</w:t>
      </w:r>
    </w:p>
    <w:p>
      <w:pPr>
        <w:pStyle w:val="TextBody"/>
        <w:bidi w:val="0"/>
        <w:spacing w:before="0" w:after="0"/>
        <w:ind w:left="0" w:right="0" w:hanging="0"/>
        <w:jc w:val="left"/>
        <w:rPr/>
      </w:pPr>
      <w:r>
        <w:rPr/>
        <w:t>​</w:t>
      </w:r>
    </w:p>
    <w:tbl>
      <w:tblPr>
        <w:tblW w:w="7866" w:type="dxa"/>
        <w:jc w:val="left"/>
        <w:tblInd w:w="0" w:type="dxa"/>
        <w:tblLayout w:type="fixed"/>
        <w:tblCellMar>
          <w:top w:w="0" w:type="dxa"/>
          <w:left w:w="0" w:type="dxa"/>
          <w:bottom w:w="0" w:type="dxa"/>
          <w:right w:w="0" w:type="dxa"/>
        </w:tblCellMar>
      </w:tblPr>
      <w:tblGrid>
        <w:gridCol w:w="4366"/>
        <w:gridCol w:w="346"/>
        <w:gridCol w:w="263"/>
        <w:gridCol w:w="1238"/>
        <w:gridCol w:w="346"/>
        <w:gridCol w:w="211"/>
        <w:gridCol w:w="109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772410" cy="175260"/>
                      <wp:effectExtent l="0" t="0" r="0" b="0"/>
                      <wp:wrapNone/>
                      <wp:docPr id="167" name="Frame167"/>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7005" cy="175260"/>
                      <wp:effectExtent l="0" t="0" r="0" b="0"/>
                      <wp:wrapNone/>
                      <wp:docPr id="169" name="Frame16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86130" cy="175260"/>
                      <wp:effectExtent l="0" t="0" r="0" b="0"/>
                      <wp:wrapNone/>
                      <wp:docPr id="170" name="Frame170"/>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5960" cy="175260"/>
                      <wp:effectExtent l="0" t="0" r="0" b="0"/>
                      <wp:wrapNone/>
                      <wp:docPr id="173" name="Frame17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977,320</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(977,320)</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Financial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Bank borrowings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6,618,260</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Long-term Bank borrowings – current portions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(2,343,660)</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loan</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6,086,254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4,274,600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050" w:name="Tc_TVu6RxvMIEeiWCobznDQzg_14_2"/>
      <w:bookmarkStart w:id="1051" w:name="Tc_1aQLjWA14ECoOAJTJa82Zg_14_0"/>
      <w:bookmarkStart w:id="1052" w:name="Tc_J14amJB0BkiptE2X2ESLEA_13_0"/>
      <w:bookmarkStart w:id="1053" w:name="Tc_ai7ZKZTHH0ODzc3kYz9I8A_12_2"/>
      <w:bookmarkStart w:id="1054" w:name="Tc_E78c-lQk3EKWAEwVj9UUAA_12_0"/>
      <w:bookmarkStart w:id="1055" w:name="Tc_3YNwTN9aGUmPfeR0fjLA4A_11_0"/>
      <w:bookmarkStart w:id="1056" w:name="Tc_QHNATRCfQUSVh1smaS9w7w_10_0"/>
      <w:bookmarkStart w:id="1057" w:name="Tc_yzT9Rft1wEC9a68iTMNsLA_9_2"/>
      <w:bookmarkStart w:id="1058" w:name="Tc_8coGCL7roUqZXhp-S_hwmw_9_0"/>
      <w:bookmarkStart w:id="1059" w:name="Tc_D1n3LMC9D02vxTpm-LQv8Q_8_2"/>
      <w:bookmarkStart w:id="1060" w:name="Tc_nRniOKf7Tkiy73Ys-Da6Cw_8_0"/>
      <w:bookmarkStart w:id="1061" w:name="Tc_eu2moXyn90ukMx7C6kMg3w_7_3"/>
      <w:bookmarkStart w:id="1062" w:name="Tc_25Md5mF5K0uCHDEXpthq1g_7_0"/>
      <w:bookmarkStart w:id="1063" w:name="Tc_MFcPf6Ohg06dDo3JnSDbjQ_6_2"/>
      <w:bookmarkStart w:id="1064" w:name="Tc_EWEA8nreGU2X1U6sBMem8Q_6_0"/>
      <w:bookmarkStart w:id="1065" w:name="Tc_0dp7S1y960qq4Jo6DZmMjw_5_0"/>
      <w:bookmarkStart w:id="1066" w:name="Tc_Jh6iTj0JyUGzLqVz9vpW2Q_4_2"/>
      <w:bookmarkStart w:id="1067" w:name="Tc_LIaR-Hwsx0e4mz8PmqYu4g_4_0"/>
      <w:bookmarkStart w:id="1068" w:name="Tc_QN6L9rd-OUig4aFioZ1sDQ_3_0"/>
      <w:bookmarkStart w:id="1069" w:name="Tc_1kkB6DuY9kKhXvf1dY6eVg_2_0"/>
      <w:bookmarkStart w:id="1070" w:name="Tc_TDtd4yltGEG5p9FfD_GKng_1_0"/>
      <w:bookmarkStart w:id="1071" w:name="_6cce54b5_195c_4e68_bff4_ba15436c338f"/>
      <w:bookmarkStart w:id="1072" w:name="Tc_G65EaXIBL0KXWS17yuyO6g_6_10"/>
      <w:bookmarkStart w:id="1073" w:name="Tc_SPKjCcet00iUax3z-Txkhg_6_8"/>
      <w:bookmarkStart w:id="1074" w:name="Tc_52ngSKc3x023nf-mzItkCQ_6_7"/>
      <w:bookmarkStart w:id="1075" w:name="Tc_fhSomhn170-C6naToJ5kxQ_6_4"/>
      <w:bookmarkStart w:id="1076" w:name="Tc__qWTbtrowk2nLXqdMtCpiA_6_2"/>
      <w:bookmarkStart w:id="1077" w:name="Tc_XOsSnkQG_0KQhelIbVyJsQ_6_0"/>
      <w:bookmarkStart w:id="1078" w:name="Tc_Xm5lcXKE1UegM4Mk3DBqyw_5_10"/>
      <w:bookmarkStart w:id="1079" w:name="Tc_UBA-T5BysU27UlAfN0u02w_5_8"/>
      <w:bookmarkStart w:id="1080" w:name="Tc_NHp12KhMZkeKkJsERbMshg_5_7"/>
      <w:bookmarkStart w:id="1081" w:name="Tc_41wrCMV20UmNbx1h3zqDwA_5_4"/>
      <w:bookmarkStart w:id="1082" w:name="Tc_FIx7P4zS-kiGBxvS2tSXyQ_5_2"/>
      <w:bookmarkStart w:id="1083" w:name="Tc_UBy6Jk9BckiM_u3-zdF4sQ_5_0"/>
      <w:bookmarkStart w:id="1084" w:name="Tc_PPMxcCgwWkioNuE1DMozmA_4_10"/>
      <w:bookmarkStart w:id="1085" w:name="Tc_qW44wZG_aUqQ6m4XDBYJ4Q_4_8"/>
      <w:bookmarkStart w:id="1086" w:name="Tc_JLKCWO5QQEeYTnJXHsHFSw_4_7"/>
      <w:bookmarkStart w:id="1087" w:name="Tc_bWscCZrUqEi-ReNHOxRNAw_4_4"/>
      <w:bookmarkStart w:id="1088" w:name="Tc_t0ArakBanUq8qbO4l1XO3g_4_2"/>
      <w:bookmarkStart w:id="1089" w:name="Tc_38lOXFvGrk6lTD2oHvCBfw_4_0"/>
      <w:bookmarkStart w:id="1090" w:name="Tc_1MxaNFhSGUeZ_NuA4a_LBw_3_10"/>
      <w:bookmarkStart w:id="1091" w:name="Tc_Xsjyv67G10WIbErdppJARw_3_8"/>
      <w:bookmarkStart w:id="1092" w:name="Tc_UsXX7P0_QEigeGvX8JOt9g_3_7"/>
      <w:bookmarkStart w:id="1093" w:name="Tc_lCKb5RwSQkmzPpyVyxhDig_3_4"/>
      <w:bookmarkStart w:id="1094" w:name="Tc_wXA0mZR2OEejhcn2sfdhJQ_3_2"/>
      <w:bookmarkStart w:id="1095" w:name="Tc_ur3FAKlutkKX-YoKrJwsZw_3_0"/>
      <w:bookmarkStart w:id="1096" w:name="Tc_JYyqiuo3sEiIADVS4IsLlg_2_14"/>
      <w:bookmarkStart w:id="1097" w:name="Tc_LLLBvmu5Okyd9TiMKL5oOg_2_12"/>
      <w:bookmarkStart w:id="1098" w:name="Tc_yB5LpWMR5kGJzcWVvOVkcg_2_10"/>
      <w:bookmarkStart w:id="1099" w:name="Tc_V-_AWSMT60qNj4gO6qcBcQ_2_8"/>
      <w:bookmarkStart w:id="1100" w:name="Tc_BRCzIwXegkSkylHJmPP5aQ_2_6"/>
      <w:bookmarkStart w:id="1101" w:name="Tc_GErOSTKUXkKB38IAn9X0gA_2_4"/>
      <w:bookmarkStart w:id="1102" w:name="Tc_xcme7et8H0eJVIb0NSSlAw_2_2"/>
      <w:bookmarkStart w:id="1103" w:name="Tc_80VMxqv98kO1n0PC7r7QNw_2_0"/>
      <w:bookmarkStart w:id="1104" w:name="Tc_rZM6FeWdX0WO4fKKxY1S6A_1_12"/>
      <w:bookmarkStart w:id="1105" w:name="Tc_xrx6R7z0RkGmwC3-Woj_Pg_1_10"/>
      <w:bookmarkStart w:id="1106" w:name="Tc_gD3ajRt37kmp0SJ8_ZKZTw_1_8"/>
      <w:bookmarkStart w:id="1107" w:name="Tc_wQcQpDtsAUWc00kbTfbwVA_1_6"/>
      <w:bookmarkStart w:id="1108" w:name="Tc_S9NmMBUM2ESjKxdgpom1mA_1_4"/>
      <w:bookmarkStart w:id="1109" w:name="_f1d396ca_ef5b_4970_b841_3b5258a4c431"/>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Fonts w:ascii="Times New Roman;Times;serif" w:hAnsi="Times New Roman;Times;serif"/>
          <w:sz w:val="20"/>
        </w:rPr>
        <w:t>In September 2023, Nanjing Changcheng entered into a sale and leaseback agreements of $3.0 million, with an unrelated third party for medical equipment. Nanjing Changcheng had acquired the control of the corresponding assets before entering into the sale and leaseback agreement, and at the end of the lease term, Nanjing Changcheng may exercise its contractual rights to purchase the leased equipment, renew the lease or return the leased equipment. If Nanjing Changcheng chooses to purchase the leased objects, the purchase price is $14.7. As of the expiry date of the lease, some of the assets still have a useful life of several years, and the purchase price of $14.7 is much below the fair value. Therefore, under ASC 842-40, the transfer of the equipment was determined to be a failed sale. In accordance with ASC 842-40, the Company did not derecognize the equipment from its balance sheet and accounted for the amounts received under the sale and leaseback agreements as a financial liability. Nanjing Changcheng is obligated to make consecutive quarterly payments of approximately $0.3 million, commencing in December 2023. As of June 30, 2026, the outstanding balance under the sale and leaseback agreements of Nanjing Changcheng was $0.3 million. The agreements will mature in September 2026, with a purchase price of $14.7 on the last repayment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2025, Baide Suzhou entered into a sale and leaseback agreement of $2.2 million, with an unrelated third party for medical equipment. Baide Suzhou had acquired the control of the corresponding assets before entering into the sale and leaseback agreement, and at the end of the lease term, Baide Suzhou may exercise its contractual rights to purchase the leased equipment, renew the lease or return the leased equipment. If Baide Suzhou chooses to purchase the leased objects, the purchase price is $14.7. As of the expiry date of the lease, some of the assets still have a useful life of several years, and the purchase price of $14.7 is much below the fair value. Therefore, under ASC 842-40, the transfer of the equipment was determined to be a failed sale. In accordance with ASC 842- 40, the Company did not derecognize the equipment from its balance sheet and accounted for the amounts received under the sale and leaseback agreements as a financial liability. Baide Suzhou is obligated to make consecutive monthly payments of approximately $0.1 million, commencing in February 2025. As of June 30, 2026, the outstanding balance under the sale and leaseback agreements was $0.7 million. The agreements will mature in January 2027, with a purchase price of $14.7 on the last repayment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bank loans as of June 30, 2026 consisted of the following:</w:t>
      </w:r>
    </w:p>
    <w:tbl>
      <w:tblPr>
        <w:tblW w:w="10205" w:type="dxa"/>
        <w:jc w:val="left"/>
        <w:tblInd w:w="0" w:type="dxa"/>
        <w:tblLayout w:type="fixed"/>
        <w:tblCellMar>
          <w:top w:w="0" w:type="dxa"/>
          <w:left w:w="0" w:type="dxa"/>
          <w:bottom w:w="0" w:type="dxa"/>
          <w:right w:w="0" w:type="dxa"/>
        </w:tblCellMar>
      </w:tblPr>
      <w:tblGrid>
        <w:gridCol w:w="721"/>
        <w:gridCol w:w="346"/>
        <w:gridCol w:w="1085"/>
        <w:gridCol w:w="346"/>
        <w:gridCol w:w="1300"/>
        <w:gridCol w:w="346"/>
        <w:gridCol w:w="805"/>
        <w:gridCol w:w="346"/>
        <w:gridCol w:w="934"/>
        <w:gridCol w:w="346"/>
        <w:gridCol w:w="995"/>
        <w:gridCol w:w="346"/>
        <w:gridCol w:w="916"/>
        <w:gridCol w:w="346"/>
        <w:gridCol w:w="1027"/>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57835" cy="175260"/>
                      <wp:effectExtent l="0" t="0" r="0" b="0"/>
                      <wp:wrapNone/>
                      <wp:docPr id="174" name="Frame1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88975" cy="175260"/>
                      <wp:effectExtent l="0" t="0" r="0" b="0"/>
                      <wp:wrapNone/>
                      <wp:docPr id="176" name="Frame176"/>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25500" cy="175260"/>
                      <wp:effectExtent l="0" t="0" r="0" b="0"/>
                      <wp:wrapNone/>
                      <wp:docPr id="178" name="Frame178"/>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11175" cy="175260"/>
                      <wp:effectExtent l="0" t="0" r="0" b="0"/>
                      <wp:wrapNone/>
                      <wp:docPr id="180" name="Frame180"/>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3090" cy="175260"/>
                      <wp:effectExtent l="0" t="0" r="0" b="0"/>
                      <wp:wrapNone/>
                      <wp:docPr id="182" name="Frame18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31825" cy="175260"/>
                      <wp:effectExtent l="0" t="0" r="0" b="0"/>
                      <wp:wrapNone/>
                      <wp:docPr id="184" name="Frame18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81660" cy="175260"/>
                      <wp:effectExtent l="0" t="0" r="0" b="0"/>
                      <wp:wrapNone/>
                      <wp:docPr id="186" name="Frame18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52145" cy="175260"/>
                      <wp:effectExtent l="0" t="0" r="0" b="0"/>
                      <wp:wrapNone/>
                      <wp:docPr id="188" name="Frame188"/>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Guarantors/ </w:t>
            </w:r>
          </w:p>
        </w:tc>
        <w:tc>
          <w:tcPr>
            <w:tcW w:w="346" w:type="dxa"/>
            <w:tcBorders/>
            <w:vAlign w:val="center"/>
          </w:tcPr>
          <w:p>
            <w:pPr>
              <w:pStyle w:val="TableContents"/>
              <w:bidi w:val="0"/>
              <w:spacing w:before="0" w:after="1"/>
              <w:ind w:left="0" w:right="0" w:hanging="0"/>
              <w:jc w:val="center"/>
              <w:rPr/>
            </w:pPr>
            <w:r>
              <w:rPr/>
              <w:t>  ​ ​ ​</w:t>
            </w:r>
          </w:p>
        </w:tc>
        <w:tc>
          <w:tcPr>
            <w:tcW w:w="8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Effective </w:t>
            </w:r>
          </w:p>
        </w:tc>
        <w:tc>
          <w:tcPr>
            <w:tcW w:w="346" w:type="dxa"/>
            <w:tcBorders/>
            <w:vAlign w:val="center"/>
          </w:tcPr>
          <w:p>
            <w:pPr>
              <w:pStyle w:val="TableContents"/>
              <w:bidi w:val="0"/>
              <w:spacing w:before="0" w:after="1"/>
              <w:ind w:left="0" w:right="0" w:hanging="0"/>
              <w:jc w:val="center"/>
              <w:rPr/>
            </w:pPr>
            <w:r>
              <w:rPr/>
              <w:t>  ​ ​ ​</w:t>
            </w:r>
          </w:p>
        </w:tc>
        <w:tc>
          <w:tcPr>
            <w:tcW w:w="93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Issuance </w:t>
            </w:r>
          </w:p>
        </w:tc>
        <w:tc>
          <w:tcPr>
            <w:tcW w:w="346" w:type="dxa"/>
            <w:tcBorders/>
            <w:vAlign w:val="center"/>
          </w:tcPr>
          <w:p>
            <w:pPr>
              <w:pStyle w:val="TableContents"/>
              <w:bidi w:val="0"/>
              <w:spacing w:before="0" w:after="1"/>
              <w:ind w:left="0" w:right="0" w:hanging="0"/>
              <w:jc w:val="center"/>
              <w:rPr/>
            </w:pPr>
            <w:r>
              <w:rPr/>
              <w:t>  ​ ​ ​</w:t>
            </w:r>
          </w:p>
        </w:tc>
        <w:tc>
          <w:tcPr>
            <w:tcW w:w="9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Expiration </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27" w:type="dxa"/>
            <w:tcBorders/>
            <w:vAlign w:val="center"/>
          </w:tcPr>
          <w:p>
            <w:pPr>
              <w:pStyle w:val="TableContents"/>
              <w:bidi w:val="0"/>
              <w:spacing w:before="0" w:after="1"/>
              <w:ind w:left="0" w:right="0" w:hanging="0"/>
              <w:jc w:val="center"/>
              <w:rPr/>
            </w:pPr>
            <w:r>
              <w:rPr/>
              <w:t>​</w:t>
            </w:r>
          </w:p>
        </w:tc>
      </w:tr>
      <w:tr>
        <w:trPr/>
        <w:tc>
          <w:tcPr>
            <w:tcW w:w="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Lender</w:t>
            </w:r>
          </w:p>
        </w:tc>
        <w:tc>
          <w:tcPr>
            <w:tcW w:w="346" w:type="dxa"/>
            <w:tcBorders/>
            <w:vAlign w:val="center"/>
          </w:tcPr>
          <w:p>
            <w:pPr>
              <w:pStyle w:val="TableContents"/>
              <w:bidi w:val="0"/>
              <w:spacing w:before="0" w:after="1"/>
              <w:ind w:left="0" w:right="0" w:hanging="0"/>
              <w:jc w:val="center"/>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46" w:type="dxa"/>
            <w:tcBorders/>
            <w:vAlign w:val="center"/>
          </w:tcPr>
          <w:p>
            <w:pPr>
              <w:pStyle w:val="TableContents"/>
              <w:bidi w:val="0"/>
              <w:spacing w:before="0" w:after="1"/>
              <w:ind w:left="0" w:right="0" w:hanging="0"/>
              <w:jc w:val="center"/>
              <w:rPr/>
            </w:pPr>
            <w:r>
              <w:rPr/>
              <w:t>​</w:t>
            </w:r>
          </w:p>
        </w:tc>
        <w:tc>
          <w:tcPr>
            <w:tcW w:w="13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Collateral</w:t>
            </w:r>
          </w:p>
        </w:tc>
        <w:tc>
          <w:tcPr>
            <w:tcW w:w="346" w:type="dxa"/>
            <w:tcBorders/>
            <w:vAlign w:val="center"/>
          </w:tcPr>
          <w:p>
            <w:pPr>
              <w:pStyle w:val="TableContents"/>
              <w:bidi w:val="0"/>
              <w:spacing w:before="0" w:after="1"/>
              <w:ind w:left="0" w:right="0" w:hanging="0"/>
              <w:jc w:val="center"/>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46" w:type="dxa"/>
            <w:tcBorders/>
            <w:vAlign w:val="center"/>
          </w:tcPr>
          <w:p>
            <w:pPr>
              <w:pStyle w:val="TableContents"/>
              <w:bidi w:val="0"/>
              <w:spacing w:before="0" w:after="1"/>
              <w:ind w:left="0" w:right="0" w:hanging="0"/>
              <w:jc w:val="center"/>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Amount-US$</w:t>
            </w:r>
          </w:p>
        </w:tc>
      </w:tr>
      <w:tr>
        <w:trPr/>
        <w:tc>
          <w:tcPr>
            <w:tcW w:w="7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China</w:t>
            </w:r>
          </w:p>
        </w:tc>
        <w:tc>
          <w:tcPr>
            <w:tcW w:w="346" w:type="dxa"/>
            <w:tcBorders/>
            <w:shd w:fill="CCEEFF" w:val="clear"/>
            <w:vAlign w:val="center"/>
          </w:tcPr>
          <w:p>
            <w:pPr>
              <w:pStyle w:val="TableContents"/>
              <w:bidi w:val="0"/>
              <w:spacing w:before="0" w:after="1"/>
              <w:ind w:left="0" w:right="0" w:hanging="0"/>
              <w:jc w:val="center"/>
              <w:rPr/>
            </w:pPr>
            <w:r>
              <w:rPr/>
              <w:t>​</w:t>
            </w:r>
          </w:p>
        </w:tc>
        <w:tc>
          <w:tcPr>
            <w:tcW w:w="108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1"/>
              <w:ind w:left="0" w:right="0" w:hanging="0"/>
              <w:jc w:val="center"/>
              <w:rPr/>
            </w:pPr>
            <w:r>
              <w:rPr/>
              <w:t>​</w:t>
            </w:r>
          </w:p>
        </w:tc>
        <w:tc>
          <w:tcPr>
            <w:tcW w:w="13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Nanjing Changcheng/ Baide capital</w:t>
            </w:r>
          </w:p>
        </w:tc>
        <w:tc>
          <w:tcPr>
            <w:tcW w:w="346"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18, 2024</w:t>
            </w:r>
          </w:p>
        </w:tc>
        <w:tc>
          <w:tcPr>
            <w:tcW w:w="346" w:type="dxa"/>
            <w:tcBorders/>
            <w:shd w:fill="CCEEFF" w:val="clear"/>
            <w:vAlign w:val="center"/>
          </w:tcPr>
          <w:p>
            <w:pPr>
              <w:pStyle w:val="TableContents"/>
              <w:bidi w:val="0"/>
              <w:spacing w:before="0" w:after="1"/>
              <w:ind w:left="0" w:right="0" w:hanging="0"/>
              <w:jc w:val="center"/>
              <w:rPr/>
            </w:pPr>
            <w:r>
              <w:rPr/>
              <w:t>​</w:t>
            </w:r>
          </w:p>
        </w:tc>
        <w:tc>
          <w:tcPr>
            <w:tcW w:w="99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17, 2027</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17,000,000</w:t>
            </w:r>
          </w:p>
        </w:tc>
        <w:tc>
          <w:tcPr>
            <w:tcW w:w="346"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2,505,800</w:t>
            </w:r>
          </w:p>
        </w:tc>
      </w:tr>
      <w:tr>
        <w:trPr/>
        <w:tc>
          <w:tcPr>
            <w:tcW w:w="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China</w:t>
            </w:r>
          </w:p>
        </w:tc>
        <w:tc>
          <w:tcPr>
            <w:tcW w:w="346" w:type="dxa"/>
            <w:tcBorders/>
            <w:vAlign w:val="center"/>
          </w:tcPr>
          <w:p>
            <w:pPr>
              <w:pStyle w:val="TableContents"/>
              <w:bidi w:val="0"/>
              <w:spacing w:before="0" w:after="1"/>
              <w:ind w:left="0" w:right="0" w:hanging="0"/>
              <w:jc w:val="center"/>
              <w:rPr/>
            </w:pPr>
            <w:r>
              <w:rPr/>
              <w:t>​</w:t>
            </w:r>
          </w:p>
        </w:tc>
        <w:tc>
          <w:tcPr>
            <w:tcW w:w="108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Nanjing Changcheng</w:t>
            </w:r>
          </w:p>
        </w:tc>
        <w:tc>
          <w:tcPr>
            <w:tcW w:w="346" w:type="dxa"/>
            <w:tcBorders/>
            <w:vAlign w:val="center"/>
          </w:tcPr>
          <w:p>
            <w:pPr>
              <w:pStyle w:val="TableContents"/>
              <w:bidi w:val="0"/>
              <w:spacing w:before="0" w:after="1"/>
              <w:ind w:left="0" w:right="0" w:hanging="0"/>
              <w:jc w:val="center"/>
              <w:rPr/>
            </w:pPr>
            <w:r>
              <w:rPr/>
              <w:t>​</w:t>
            </w:r>
          </w:p>
        </w:tc>
        <w:tc>
          <w:tcPr>
            <w:tcW w:w="13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12, 2025</w:t>
            </w:r>
          </w:p>
        </w:tc>
        <w:tc>
          <w:tcPr>
            <w:tcW w:w="34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11, 2027</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9,900,000</w:t>
            </w:r>
          </w:p>
        </w:tc>
        <w:tc>
          <w:tcPr>
            <w:tcW w:w="346" w:type="dxa"/>
            <w:tcBorders/>
            <w:vAlign w:val="center"/>
          </w:tcPr>
          <w:p>
            <w:pPr>
              <w:pStyle w:val="TableContents"/>
              <w:bidi w:val="0"/>
              <w:spacing w:before="0" w:after="1"/>
              <w:ind w:left="0" w:right="0" w:hanging="0"/>
              <w:jc w:val="center"/>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1,459,260</w:t>
            </w:r>
          </w:p>
        </w:tc>
      </w:tr>
      <w:tr>
        <w:trPr/>
        <w:tc>
          <w:tcPr>
            <w:tcW w:w="7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SPD Bank</w:t>
            </w:r>
          </w:p>
        </w:tc>
        <w:tc>
          <w:tcPr>
            <w:tcW w:w="346" w:type="dxa"/>
            <w:tcBorders/>
            <w:shd w:fill="CCEEFF" w:val="clear"/>
            <w:vAlign w:val="center"/>
          </w:tcPr>
          <w:p>
            <w:pPr>
              <w:pStyle w:val="TableContents"/>
              <w:bidi w:val="0"/>
              <w:spacing w:before="0" w:after="1"/>
              <w:ind w:left="0" w:right="0" w:hanging="0"/>
              <w:jc w:val="center"/>
              <w:rPr/>
            </w:pPr>
            <w:r>
              <w:rPr/>
              <w:t>​</w:t>
            </w:r>
          </w:p>
        </w:tc>
        <w:tc>
          <w:tcPr>
            <w:tcW w:w="108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1"/>
              <w:ind w:left="0" w:right="0" w:hanging="0"/>
              <w:jc w:val="center"/>
              <w:rPr/>
            </w:pPr>
            <w:r>
              <w:rPr/>
              <w:t>​</w:t>
            </w:r>
          </w:p>
        </w:tc>
        <w:tc>
          <w:tcPr>
            <w:tcW w:w="13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31, 2025</w:t>
            </w:r>
          </w:p>
        </w:tc>
        <w:tc>
          <w:tcPr>
            <w:tcW w:w="346" w:type="dxa"/>
            <w:tcBorders/>
            <w:shd w:fill="CCEEFF" w:val="clear"/>
            <w:vAlign w:val="center"/>
          </w:tcPr>
          <w:p>
            <w:pPr>
              <w:pStyle w:val="TableContents"/>
              <w:bidi w:val="0"/>
              <w:spacing w:before="0" w:after="1"/>
              <w:ind w:left="0" w:right="0" w:hanging="0"/>
              <w:jc w:val="center"/>
              <w:rPr/>
            </w:pPr>
            <w:r>
              <w:rPr/>
              <w:t>​</w:t>
            </w:r>
          </w:p>
        </w:tc>
        <w:tc>
          <w:tcPr>
            <w:tcW w:w="99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30 ,2028</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9,000,000</w:t>
            </w:r>
          </w:p>
        </w:tc>
        <w:tc>
          <w:tcPr>
            <w:tcW w:w="346"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1,326,600</w:t>
            </w:r>
          </w:p>
        </w:tc>
      </w:tr>
      <w:tr>
        <w:trPr/>
        <w:tc>
          <w:tcPr>
            <w:tcW w:w="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SPD Bank</w:t>
            </w:r>
          </w:p>
        </w:tc>
        <w:tc>
          <w:tcPr>
            <w:tcW w:w="346" w:type="dxa"/>
            <w:tcBorders/>
            <w:vAlign w:val="center"/>
          </w:tcPr>
          <w:p>
            <w:pPr>
              <w:pStyle w:val="TableContents"/>
              <w:bidi w:val="0"/>
              <w:spacing w:before="0" w:after="1"/>
              <w:ind w:left="0" w:right="0" w:hanging="0"/>
              <w:jc w:val="center"/>
              <w:rPr/>
            </w:pPr>
            <w:r>
              <w:rPr/>
              <w:t>​</w:t>
            </w:r>
          </w:p>
        </w:tc>
        <w:tc>
          <w:tcPr>
            <w:tcW w:w="108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1"/>
              <w:ind w:left="0" w:right="0" w:hanging="0"/>
              <w:jc w:val="center"/>
              <w:rPr/>
            </w:pPr>
            <w:r>
              <w:rPr/>
              <w:t>​</w:t>
            </w:r>
          </w:p>
        </w:tc>
        <w:tc>
          <w:tcPr>
            <w:tcW w:w="13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2.90</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14, 2025</w:t>
            </w:r>
          </w:p>
        </w:tc>
        <w:tc>
          <w:tcPr>
            <w:tcW w:w="34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30 ,2028</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9,000,000</w:t>
            </w:r>
          </w:p>
        </w:tc>
        <w:tc>
          <w:tcPr>
            <w:tcW w:w="346" w:type="dxa"/>
            <w:tcBorders/>
            <w:vAlign w:val="center"/>
          </w:tcPr>
          <w:p>
            <w:pPr>
              <w:pStyle w:val="TableContents"/>
              <w:bidi w:val="0"/>
              <w:spacing w:before="0" w:after="1"/>
              <w:ind w:left="0" w:right="0" w:hanging="0"/>
              <w:jc w:val="center"/>
              <w:rPr/>
            </w:pPr>
            <w:r>
              <w:rPr/>
              <w:t>​</w:t>
            </w:r>
          </w:p>
        </w:tc>
        <w:tc>
          <w:tcPr>
            <w:tcW w:w="1027"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1,326,600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loan payments under long-term loan as of June 30, 2026 were as follows:</w:t>
      </w:r>
    </w:p>
    <w:tbl>
      <w:tblPr>
        <w:tblW w:w="6199" w:type="dxa"/>
        <w:jc w:val="left"/>
        <w:tblInd w:w="0" w:type="dxa"/>
        <w:tblLayout w:type="fixed"/>
        <w:tblCellMar>
          <w:top w:w="0" w:type="dxa"/>
          <w:left w:w="0" w:type="dxa"/>
          <w:bottom w:w="0" w:type="dxa"/>
          <w:right w:w="0" w:type="dxa"/>
        </w:tblCellMar>
      </w:tblPr>
      <w:tblGrid>
        <w:gridCol w:w="4531"/>
        <w:gridCol w:w="346"/>
        <w:gridCol w:w="226"/>
        <w:gridCol w:w="1096"/>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877185" cy="175260"/>
                      <wp:effectExtent l="0" t="0" r="0" b="0"/>
                      <wp:wrapNone/>
                      <wp:docPr id="189" name="Frame189"/>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3510" cy="175260"/>
                      <wp:effectExtent l="0" t="0" r="0" b="0"/>
                      <wp:wrapNone/>
                      <wp:docPr id="191" name="Frame1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5960" cy="175260"/>
                      <wp:effectExtent l="0" t="0" r="0" b="0"/>
                      <wp:wrapNone/>
                      <wp:docPr id="192" name="Frame19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Financial liabilities payment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893,765</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Financial liabilities payment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105,137</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Financial liabilities payments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998,902</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Financial liabilities imputed interest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(21,582)</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Financial liabilities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977,320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Financial liabilities - long term portions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Financial liabilities payment – current portions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977,320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Long-term Bank borrowings repayment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449,570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Long-term Bank borrowings repayment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5,136,890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 Long-term Bank borrowings repayment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1,031,800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Bank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6,618,260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Long-term Bank borrowings - long term portions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(4,274,600)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Bank borrowings – current portions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2,343,660</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of long-term loan was $190,011and $162,422 for the six months ended June 30, 2025 and 2026,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110" w:name="Tc_bgASOO1J_UeonD1mBbww7Q_6_5"/>
      <w:bookmarkStart w:id="1111" w:name="Tc_uBFhgGWFPUmN9RJ6ChUesQ_6_2"/>
      <w:bookmarkStart w:id="1112" w:name="Tc_Pr6JDz2vl0iVJF8DxBUZjw_6_0"/>
      <w:bookmarkStart w:id="1113" w:name="Tc_O3TwJbw8XkCiHnM5YwF_7w_5_0"/>
      <w:bookmarkStart w:id="1114" w:name="Tc_An8eJ5UHrk2BQ6LumCde_A_4_5"/>
      <w:bookmarkStart w:id="1115" w:name="Tc_yZXd7uQ1K02WUeZRid412g_4_2"/>
      <w:bookmarkStart w:id="1116" w:name="Tc_-rXXC9PPekmmT5MAYhOyxg_4_0"/>
      <w:bookmarkStart w:id="1117" w:name="Tc_YVdWM0QC1keaS5geBFhCcw_3_5"/>
      <w:bookmarkStart w:id="1118" w:name="Tc_zEdJapkuF0u08I2N4OW89Q_3_2"/>
      <w:bookmarkStart w:id="1119" w:name="Tc_tDfMF1rs5kyuKil66bSBxA_2_5"/>
      <w:bookmarkStart w:id="1120" w:name="Tc_ze25qGyWZEuRSATs_tRXhg_2_2"/>
      <w:bookmarkStart w:id="1121" w:name="Tc_f2kN3K3vlECanQJ0hXLPMQ_1_2"/>
      <w:bookmarkStart w:id="1122" w:name="Tc_j7MQSenfTUeMvP-_271IrA_10_2"/>
      <w:bookmarkStart w:id="1123" w:name="Tc_cISzJ_WeQEGek2uJgxmotg_10_0"/>
      <w:bookmarkStart w:id="1124" w:name="Tc_UWkoxm2M5UmV29GSoYXqqg_9_0"/>
      <w:bookmarkStart w:id="1125" w:name="Tc_VCaTI43ygE6gHT0h4Kqwxg_8_2"/>
      <w:bookmarkStart w:id="1126" w:name="Tc_kkN4hXv6WUG04FOb-Obmug_8_0"/>
      <w:bookmarkStart w:id="1127" w:name="Tc_HJiedu3j00S7_VgnfZYd6g_7_0"/>
      <w:bookmarkStart w:id="1128" w:name="Tc_aw3ckexI20GuSpmH3UFrQA_6_2"/>
      <w:bookmarkStart w:id="1129" w:name="Tc_3wT20x_yC0eZKS8eaXKgXw_6_0"/>
      <w:bookmarkStart w:id="1130" w:name="Tc_zUsMBzsfPUyXHoCwYKKwZQ_5_0"/>
      <w:bookmarkStart w:id="1131" w:name="Tc__4fES6_--kKMQ1hc4dnf_A_4_0"/>
      <w:bookmarkStart w:id="1132" w:name="Tc_lw__JsGskkOYunp2GZ015w_3_0"/>
      <w:bookmarkStart w:id="1133" w:name="Tc_tddDVGybdUOvIQfLfyLVhQ_2_2"/>
      <w:bookmarkStart w:id="1134" w:name="Tc_87DWThEi-ESV-9nYI1Kh-g_1_2"/>
      <w:bookmarkStart w:id="1135" w:name="_790ae05c_bd49_4e83_b00c_358d6540092d"/>
      <w:bookmarkStart w:id="1136" w:name="Tc_mjIlN0R3p0K_tCBh0-xqsw_4_3"/>
      <w:bookmarkStart w:id="1137" w:name="Tc_yLrVTyKdBky2RpBUnBTNWA_4_0"/>
      <w:bookmarkStart w:id="1138" w:name="Tc_NYf1be07mEyd2Qba4DGtOQ_3_5"/>
      <w:bookmarkStart w:id="1139" w:name="Tc_PygBdHPM0EWdMfWPgaIc1Q_3_2"/>
      <w:bookmarkStart w:id="1140" w:name="Tc_z-m9B9tKWU66Ct6jxKnAUQ_3_0"/>
      <w:bookmarkStart w:id="1141" w:name="Tc_OCy1zv8DuUGPVp5MWyTniQ_2_5"/>
      <w:bookmarkStart w:id="1142" w:name="Tc_1-bqJCj4qEu4_XlK3Eeovg_2_2"/>
      <w:bookmarkStart w:id="1143" w:name="Tc_e0buCcN9dk6a2gy-eKXtPA_1_2"/>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 New Roman;Times;serif" w:hAnsi="Times New Roman;Times;serif"/>
          <w:b/>
          <w:sz w:val="20"/>
        </w:rPr>
        <w:t>NOTE 8 — LEASE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leasing activities primarily consist of operating leases for offices. The Company adopted ASC 842 effective January 1, 2018. ASC 842 requires lessees to recognize right-of-use assets and lease liabilities on the balance sheet. The Company has applied practical expedient to not recognize short-term leases with lease terms of one year or less on the balance sheet.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June 30, 2026, the Company recorded right-of-use assets of approximately $0.2 million and $0.2 million and lease liabilities of approximately $0.1 million and $0.2 million, respectively, for operating leases as a lessee. Supplemental cash flow information related to operating leases was as follows:</w:t>
      </w:r>
    </w:p>
    <w:p>
      <w:pPr>
        <w:pStyle w:val="TextBody"/>
        <w:bidi w:val="0"/>
        <w:spacing w:before="0" w:after="0"/>
        <w:ind w:left="0" w:right="0" w:hanging="0"/>
        <w:jc w:val="left"/>
        <w:rPr/>
      </w:pPr>
      <w:r>
        <w:rPr/>
        <w:t>​</w:t>
      </w:r>
    </w:p>
    <w:tbl>
      <w:tblPr>
        <w:tblW w:w="8791" w:type="dxa"/>
        <w:jc w:val="left"/>
        <w:tblInd w:w="0" w:type="dxa"/>
        <w:tblLayout w:type="fixed"/>
        <w:tblCellMar>
          <w:top w:w="0" w:type="dxa"/>
          <w:left w:w="0" w:type="dxa"/>
          <w:bottom w:w="0" w:type="dxa"/>
          <w:right w:w="0" w:type="dxa"/>
        </w:tblCellMar>
      </w:tblPr>
      <w:tblGrid>
        <w:gridCol w:w="5821"/>
        <w:gridCol w:w="346"/>
        <w:gridCol w:w="227"/>
        <w:gridCol w:w="842"/>
        <w:gridCol w:w="373"/>
        <w:gridCol w:w="227"/>
        <w:gridCol w:w="955"/>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696335" cy="175260"/>
                      <wp:effectExtent l="0" t="0" r="0" b="0"/>
                      <wp:wrapNone/>
                      <wp:docPr id="193" name="Frame193"/>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4145" cy="175260"/>
                      <wp:effectExtent l="0" t="0" r="0" b="0"/>
                      <wp:wrapNone/>
                      <wp:docPr id="195" name="Frame19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34670" cy="175260"/>
                      <wp:effectExtent l="0" t="0" r="0" b="0"/>
                      <wp:wrapNone/>
                      <wp:docPr id="196" name="Frame196"/>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36855" cy="175260"/>
                      <wp:effectExtent l="0" t="0" r="0" b="0"/>
                      <wp:wrapNone/>
                      <wp:docPr id="197" name="Frame19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44145" cy="175260"/>
                      <wp:effectExtent l="0" t="0" r="0" b="0"/>
                      <wp:wrapNone/>
                      <wp:docPr id="198" name="Frame19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06425" cy="175260"/>
                      <wp:effectExtent l="0" t="0" r="0" b="0"/>
                      <wp:wrapNone/>
                      <wp:docPr id="199" name="Frame199"/>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3" w:type="dxa"/>
            <w:tcBorders/>
            <w:vAlign w:val="center"/>
          </w:tcPr>
          <w:p>
            <w:pPr>
              <w:pStyle w:val="TableContents"/>
              <w:bidi w:val="0"/>
              <w:spacing w:before="0" w:after="0"/>
              <w:ind w:left="0" w:right="0" w:hanging="0"/>
              <w:jc w:val="center"/>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211,122</w:t>
            </w:r>
          </w:p>
        </w:tc>
        <w:tc>
          <w:tcPr>
            <w:tcW w:w="373"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65,461</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109,064</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lease payments under operating leases as of June 30, 2026 were as follows:</w:t>
      </w:r>
    </w:p>
    <w:tbl>
      <w:tblPr>
        <w:tblW w:w="4339" w:type="dxa"/>
        <w:jc w:val="left"/>
        <w:tblInd w:w="0" w:type="dxa"/>
        <w:tblLayout w:type="fixed"/>
        <w:tblCellMar>
          <w:top w:w="0" w:type="dxa"/>
          <w:left w:w="0" w:type="dxa"/>
          <w:bottom w:w="0" w:type="dxa"/>
          <w:right w:w="0" w:type="dxa"/>
        </w:tblCellMar>
      </w:tblPr>
      <w:tblGrid>
        <w:gridCol w:w="2896"/>
        <w:gridCol w:w="346"/>
        <w:gridCol w:w="211"/>
        <w:gridCol w:w="88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38960" cy="175260"/>
                      <wp:effectExtent l="0" t="0" r="0" b="0"/>
                      <wp:wrapNone/>
                      <wp:docPr id="200" name="Frame200"/>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62610" cy="175260"/>
                      <wp:effectExtent l="0" t="0" r="0" b="0"/>
                      <wp:wrapNone/>
                      <wp:docPr id="203" name="Frame2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Operating </w:t>
            </w:r>
          </w:p>
        </w:tc>
      </w:tr>
      <w:tr>
        <w:trPr/>
        <w:tc>
          <w:tcPr>
            <w:tcW w:w="2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86,808</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90,474</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201,782</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(12,633)</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189,149</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 term portions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47,256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 current portions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141,893</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remaining lease term was 1.67 years and 1.60 years as of December 31, 2025 and June 30, 2026,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discount rate used to determine the operating lease liability as of December 31, 2025 and June 30, 2026 was 6.00% and 7.06%,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lease expenses for the six months ended June 30, 2025 and 2026 was $0.2 million and $0.2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summary of lease cost recognized in the Company’s consolidated statements of operations and comprehensive income/(loss) is as follows:</w:t>
      </w:r>
    </w:p>
    <w:p>
      <w:pPr>
        <w:pStyle w:val="TextBody"/>
        <w:bidi w:val="0"/>
        <w:spacing w:before="0" w:after="0"/>
        <w:ind w:left="0" w:right="0" w:hanging="0"/>
        <w:jc w:val="left"/>
        <w:rPr/>
      </w:pPr>
      <w:r>
        <w:rPr/>
        <w:t>​</w:t>
      </w:r>
    </w:p>
    <w:tbl>
      <w:tblPr>
        <w:tblW w:w="7755" w:type="dxa"/>
        <w:jc w:val="left"/>
        <w:tblInd w:w="0" w:type="dxa"/>
        <w:tblLayout w:type="fixed"/>
        <w:tblCellMar>
          <w:top w:w="0" w:type="dxa"/>
          <w:left w:w="0" w:type="dxa"/>
          <w:bottom w:w="0" w:type="dxa"/>
          <w:right w:w="0" w:type="dxa"/>
        </w:tblCellMar>
      </w:tblPr>
      <w:tblGrid>
        <w:gridCol w:w="4786"/>
        <w:gridCol w:w="346"/>
        <w:gridCol w:w="226"/>
        <w:gridCol w:w="841"/>
        <w:gridCol w:w="372"/>
        <w:gridCol w:w="226"/>
        <w:gridCol w:w="958"/>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039110" cy="175260"/>
                      <wp:effectExtent l="0" t="0" r="0" b="0"/>
                      <wp:wrapNone/>
                      <wp:docPr id="204" name="Frame204"/>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3510" cy="175260"/>
                      <wp:effectExtent l="0" t="0" r="0" b="0"/>
                      <wp:wrapNone/>
                      <wp:docPr id="206" name="Frame2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34035" cy="175260"/>
                      <wp:effectExtent l="0" t="0" r="0" b="0"/>
                      <wp:wrapNone/>
                      <wp:docPr id="207" name="Frame20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6220" cy="175260"/>
                      <wp:effectExtent l="0" t="0" r="0" b="0"/>
                      <wp:wrapNone/>
                      <wp:docPr id="208" name="Frame20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3510" cy="175260"/>
                      <wp:effectExtent l="0" t="0" r="0" b="0"/>
                      <wp:wrapNone/>
                      <wp:docPr id="209" name="Frame2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08330" cy="175260"/>
                      <wp:effectExtent l="0" t="0" r="0" b="0"/>
                      <wp:wrapNone/>
                      <wp:docPr id="210" name="Frame210"/>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1"/>
              <w:ind w:left="0" w:right="0" w:hanging="0"/>
              <w:jc w:val="center"/>
              <w:rPr/>
            </w:pPr>
            <w:r>
              <w:rPr/>
              <w:t>​</w:t>
            </w:r>
          </w:p>
        </w:tc>
        <w:tc>
          <w:tcPr>
            <w:tcW w:w="11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2" w:type="dxa"/>
            <w:tcBorders/>
            <w:vAlign w:val="center"/>
          </w:tcPr>
          <w:p>
            <w:pPr>
              <w:pStyle w:val="TableContents"/>
              <w:bidi w:val="0"/>
              <w:spacing w:before="0" w:after="1"/>
              <w:ind w:left="0" w:right="0" w:hanging="0"/>
              <w:jc w:val="center"/>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 cost excluding short-term rental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222,877</w:t>
            </w:r>
          </w:p>
        </w:tc>
        <w:tc>
          <w:tcPr>
            <w:tcW w:w="372"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65,461</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17,684</w:t>
            </w:r>
          </w:p>
        </w:tc>
        <w:tc>
          <w:tcPr>
            <w:tcW w:w="372"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176,603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240,561</w:t>
            </w:r>
          </w:p>
        </w:tc>
        <w:tc>
          <w:tcPr>
            <w:tcW w:w="372"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242,064</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lease contract was early terminated for the six months ended June 30, 2025 and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 TAXES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tax laws of Cayman Islands, the Company is not subject to tax on income or capital gains. No Cayman Islands withholding tax is imposed upon payment of dividends by the Company to its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incorporated in the British Virgin Islands. Under the current laws of the BVI, an entity incorporated in the BVI are not subject to tax on income or capital gains.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2026, the Company has three U.S. subsidiaries NewCo, Excelfin and Baird Medical LLC. NewCo is inactive holding company. Excelfin is holding company incurred loss in the first half of 2026. Baird Medical LLC’s business is to sell MWA medical devices and grant technology license to third parties and have income in the first half of 2026. The Company had considered the income tax impacts in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2025, the Company has three U.S. subsidiaries NewCo, Excelfin and Baird Medical LLC. NewCo is inactive holding company. Excelfin is holding company incurred loss in the first half of 2025. Baird Medical LLC’s business is to sell MWA medical devices and have income in the first half of 2025. The Company had considered the income tax impacts in its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21, 2018, the Hong Kong Legislative Council passed The Inland Revenue (Amendment) (No. 7) Bill 2017 (the “Bill”) which introduces the two-tiered profits tax rates regime. The Bill was signed into law on March 28, 2018 and was announced on the following day. Under the two-tiered profits tax rates regime, the first 2 million Hong Kong Dollar (“HKD”) of profits of the qualifying group entity will be taxed at 8.25%, and profits above HKD 2 million will be taxed at 16.5%. The Company’s Hong Kong subsidiaries did have assessable profits that were derived in Hong Kong for the six months ended June 30, 2025 and 2026. The Company had considered the income tax impacts in its consolidated financial statements for the six months ended June 30, 2025 and 2026.</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subsidiaries in the PRC are subject to the statutory rate of 25%, in accordance with the Enterprise Income Tax law (the “EIT Law”), which was effective since January 1, 2008 except for the following entities eligible for preferential tax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PRC subsidiaries are subject to the PRC Enterprise Income Tax Law (“EIT Law”) and are taxed at the statutory income tax rate of 25%, except for Nanjing Changcheng and Baide Suzhou who are registered as High and New-Tech enterprises according to the PRC tax regulations and entitled to a preferential tax rate of 15% for the six months ended June 30, 2025 and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qualified Small Profit Enterprises, from January 1, 2023 to December 31, 2027, 25% of the first RMB 3.0 million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subsidiaries of the Company have been qualified as “Small Profit Enterprises”. From January 1, 2023 to December 31, 2027, 25% of the first RMB 3.0 million, approximately $437,165,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144" w:name="Tc_kt581v4ROEO88uctVMdbag_13_5"/>
      <w:bookmarkStart w:id="1145" w:name="Tc_mm8VnygRDUGYVroPlYwwsA_13_2"/>
      <w:bookmarkStart w:id="1146" w:name="Tc_Rjra1Ao8702t_8BdF8rrJA_13_0"/>
      <w:bookmarkStart w:id="1147" w:name="Tc_3CaDVAqJw0SQ7bLVDtttUg_12_0"/>
      <w:bookmarkStart w:id="1148" w:name="Tc_pUhj3_PBV0OXz5nVxYLbkg_11_0"/>
      <w:bookmarkStart w:id="1149" w:name="Tc_mXr8nDKv8E-LcGw8Dd7FCw_10_5"/>
      <w:bookmarkStart w:id="1150" w:name="Tc_schkkSTAJU-wE3Wl1OlVxA_10_2"/>
      <w:bookmarkStart w:id="1151" w:name="Tc_L1zAwI49Mk2MhsRu8p4nyA_10_0"/>
      <w:bookmarkStart w:id="1152" w:name="Tc_lIazYUxJ6U6z0t8Q_lFCeQ_9_0"/>
      <w:bookmarkStart w:id="1153" w:name="Tc_OtME_J4ZxU6VE6ASrGO4TA_8_5"/>
      <w:bookmarkStart w:id="1154" w:name="Tc_tSnb0zfmSUK8-ZkYzcCEgg_8_2"/>
      <w:bookmarkStart w:id="1155" w:name="Tc_z1CGfWe2wUSikXJZDxXtPA_8_0"/>
      <w:bookmarkStart w:id="1156" w:name="Tc_iPHksddgpk6-LTCBsFttRQ_7_0"/>
      <w:bookmarkStart w:id="1157" w:name="Tc_UHqPk8fuNkK2uNUX9HNeLQ_6_0"/>
      <w:bookmarkStart w:id="1158" w:name="Tc_qkACj7OTzUWGo8330yYNRg_5_5"/>
      <w:bookmarkStart w:id="1159" w:name="Tc_S4CSQCCzW0mKGv9YfCcqlw_5_2"/>
      <w:bookmarkStart w:id="1160" w:name="Tc_9JywqSUQZU2WLnOdpO8Y-g_5_0"/>
      <w:bookmarkStart w:id="1161" w:name="Tc_pl4ykyK73kSRQZZL4GUkIA_4_0"/>
      <w:bookmarkStart w:id="1162" w:name="Tc_QUQsz4CLO0abhA1qf7Vs4g_3_5"/>
      <w:bookmarkStart w:id="1163" w:name="Tc_noYWj_wmL06_xwEk0Sb8_w_3_2"/>
      <w:bookmarkStart w:id="1164" w:name="Tc_Ssk3NYkMVkWLxB1kx8N53A_2_5"/>
      <w:bookmarkStart w:id="1165" w:name="Tc_iKwz1GA1rkyDz86rvF8qXw_2_2"/>
      <w:bookmarkStart w:id="1166" w:name="Tc_lTgqJjJpB0yM44fxHGaIDA_1_2"/>
      <w:bookmarkStart w:id="1167" w:name="Tc_iWGujXD4z0ygast4uyTAcA_8_5"/>
      <w:bookmarkStart w:id="1168" w:name="Tc_kzE_DYBBRka6Zgw6cJ7isA_8_2"/>
      <w:bookmarkStart w:id="1169" w:name="Tc_vOZWlGa_HEGVpXT61NkwWg_7_0"/>
      <w:bookmarkStart w:id="1170" w:name="Tc_AS2JD1i-uUSNiP25aP2arg_6_0"/>
      <w:bookmarkStart w:id="1171" w:name="Tc_yDymCO5LRUCT58KseQWSFw_5_0"/>
      <w:bookmarkStart w:id="1172" w:name="Tc_qQzuXQGQREq4BvKnwwQ_1g_4_5"/>
      <w:bookmarkStart w:id="1173" w:name="Tc_jEK6JwfTHEaUMr4cHWsP2A_4_2"/>
      <w:bookmarkStart w:id="1174" w:name="Tc_waUPQ7v4-0e-J8_piAUEVw_4_0"/>
      <w:bookmarkStart w:id="1175" w:name="Tc_oHh53aXhskeWA59XSbX1aQ_3_5"/>
      <w:bookmarkStart w:id="1176" w:name="Tc_HYKYx97d40CpsTSHGL_AlQ_3_2"/>
      <w:bookmarkStart w:id="1177" w:name="Tc_qwX5m5NWRUKU4FlhChCG3w_2_5"/>
      <w:bookmarkStart w:id="1178" w:name="Tc_3q6yV1ZNok2HF-g32z11JQ_2_2"/>
      <w:bookmarkStart w:id="1179" w:name="Tc_XJo1qUb7Dky9rLIr0j55mg_1_2"/>
      <w:bookmarkStart w:id="1180" w:name="Tc_1mPQPSgirEmWmUN-OyAK8g_8_5"/>
      <w:bookmarkStart w:id="1181" w:name="Tc_ZZL-6kqdCkuzyYsyckwjZw_8_2"/>
      <w:bookmarkStart w:id="1182" w:name="Tc_hd0yi_t6P0WMIgTcL2KZpQ_8_0"/>
      <w:bookmarkStart w:id="1183" w:name="Tc_XRvJxEs4dUOudcSnUjhziA_7_6"/>
      <w:bookmarkStart w:id="1184" w:name="Tc_Lwq2piLXxU6YrmwtCnbG2g_7_3"/>
      <w:bookmarkStart w:id="1185" w:name="Tc_v5WvsY4DbUmyVBoIUtdrLw_7_0"/>
      <w:bookmarkStart w:id="1186" w:name="Tc_ZmwW5sO3KESjqCP8sQKPHw_6_3"/>
      <w:bookmarkStart w:id="1187" w:name="Tc_H6QUWjhmWEuJUv1szsbBVQ_6_0"/>
      <w:bookmarkStart w:id="1188" w:name="Tc_LHZo3pGgakSJMoGyMeve8Q_5_6"/>
      <w:bookmarkStart w:id="1189" w:name="Tc_F_xcdGH8c0uQDxp9tdjsKA_5_3"/>
      <w:bookmarkStart w:id="1190" w:name="Tc_H9quJTDv0UGBs7FvM6_C9A_5_0"/>
      <w:bookmarkStart w:id="1191" w:name="Tc_Ii2y2XqHdkGoTzzzXGCCKA_4_5"/>
      <w:bookmarkStart w:id="1192" w:name="Tc_8j79dNLBYEKwp5QxthSYyA_4_2"/>
      <w:bookmarkStart w:id="1193" w:name="Tc_DukyfAavmUCwLUB5KEXIKA_4_0"/>
      <w:bookmarkStart w:id="1194" w:name="Tc_jMs6JpKDcUWRTJds2uQ7Gg_3_5"/>
      <w:bookmarkStart w:id="1195" w:name="Tc_qFhuJROELkSZthkgKChv3A_3_2"/>
      <w:bookmarkStart w:id="1196" w:name="Tc_Nttt-615mEi01ZyDxLcQvQ_2_5"/>
      <w:bookmarkStart w:id="1197" w:name="Tc_Sq_v3H9WoECjniPSkRuAFg_2_2"/>
      <w:bookmarkStart w:id="1198" w:name="Tc_D-Hqkfb38EKR8ez74hl0dg_1_2"/>
      <w:bookmarkStart w:id="1199" w:name="Tc_u8-M2C7Pqkem2b4d18hKXw_6_5"/>
      <w:bookmarkStart w:id="1200" w:name="Tc_shLfsw8IP0-8qRLnBgpnCg_6_2"/>
      <w:bookmarkStart w:id="1201" w:name="Tc_MkK9NJlYAkGl2MazOJ4J0A_6_0"/>
      <w:bookmarkStart w:id="1202" w:name="Tc_T3m7UWCbs0e1px_3pglRhw_5_0"/>
      <w:bookmarkStart w:id="1203" w:name="Tc__rJgptNCE0a9WF3U7XnYbg_4_5"/>
      <w:bookmarkStart w:id="1204" w:name="Tc_g6VdldaSr0OsvAa-2b58dg_4_2"/>
      <w:bookmarkStart w:id="1205" w:name="Tc_sEu67AdNcU2le6ylnGzlnQ_4_0"/>
      <w:bookmarkStart w:id="1206" w:name="Tc_RXyw_kZIik6mZ6Y61yPKCA_3_5"/>
      <w:bookmarkStart w:id="1207" w:name="Tc_2BSdTBWJb0KpZtBHV7mcfQ_3_2"/>
      <w:bookmarkStart w:id="1208" w:name="Tc_NJPhr8nQZk6YM8fTALRlQw_2_5"/>
      <w:bookmarkStart w:id="1209" w:name="Tc_yFuaUi1dVUu11Mu5YxlGrA_2_2"/>
      <w:bookmarkStart w:id="1210" w:name="Tc_v4sr7PDu4UqT35onWHaXPw_1_2"/>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sz w:val="20"/>
        </w:rPr>
        <w:t>The components of the income tax provision are as follows:</w:t>
      </w:r>
    </w:p>
    <w:p>
      <w:pPr>
        <w:pStyle w:val="TextBody"/>
        <w:bidi w:val="0"/>
        <w:spacing w:before="0" w:after="0"/>
        <w:ind w:left="0" w:right="0" w:hanging="0"/>
        <w:jc w:val="left"/>
        <w:rPr/>
      </w:pPr>
      <w:r>
        <w:rPr/>
        <w:t>​</w:t>
      </w:r>
    </w:p>
    <w:tbl>
      <w:tblPr>
        <w:tblW w:w="5537" w:type="dxa"/>
        <w:jc w:val="left"/>
        <w:tblInd w:w="0" w:type="dxa"/>
        <w:tblLayout w:type="fixed"/>
        <w:tblCellMar>
          <w:top w:w="0" w:type="dxa"/>
          <w:left w:w="0" w:type="dxa"/>
          <w:bottom w:w="0" w:type="dxa"/>
          <w:right w:w="0" w:type="dxa"/>
        </w:tblCellMar>
      </w:tblPr>
      <w:tblGrid>
        <w:gridCol w:w="2566"/>
        <w:gridCol w:w="346"/>
        <w:gridCol w:w="222"/>
        <w:gridCol w:w="822"/>
        <w:gridCol w:w="364"/>
        <w:gridCol w:w="222"/>
        <w:gridCol w:w="995"/>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29410" cy="175260"/>
                      <wp:effectExtent l="0" t="0" r="0" b="0"/>
                      <wp:wrapNone/>
                      <wp:docPr id="211" name="Frame21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0970" cy="175260"/>
                      <wp:effectExtent l="0" t="0" r="0" b="0"/>
                      <wp:wrapNone/>
                      <wp:docPr id="213" name="Frame21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21970" cy="175260"/>
                      <wp:effectExtent l="0" t="0" r="0" b="0"/>
                      <wp:wrapNone/>
                      <wp:docPr id="214" name="Frame21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1140" cy="175260"/>
                      <wp:effectExtent l="0" t="0" r="0" b="0"/>
                      <wp:wrapNone/>
                      <wp:docPr id="215" name="Frame21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0970" cy="175260"/>
                      <wp:effectExtent l="0" t="0" r="0" b="0"/>
                      <wp:wrapNone/>
                      <wp:docPr id="216" name="Frame21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31825" cy="175260"/>
                      <wp:effectExtent l="0" t="0" r="0" b="0"/>
                      <wp:wrapNone/>
                      <wp:docPr id="217" name="Frame217"/>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4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4" w:type="dxa"/>
            <w:tcBorders/>
            <w:vAlign w:val="center"/>
          </w:tcPr>
          <w:p>
            <w:pPr>
              <w:pStyle w:val="TableContents"/>
              <w:bidi w:val="0"/>
              <w:spacing w:before="0" w:after="0"/>
              <w:ind w:left="0" w:right="0" w:hanging="0"/>
              <w:jc w:val="center"/>
              <w:rPr/>
            </w:pPr>
            <w:r>
              <w:rPr/>
              <w:t>  ​ ​ ​</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4" w:type="dxa"/>
            <w:tcBorders/>
            <w:vAlign w:val="center"/>
          </w:tcPr>
          <w:p>
            <w:pPr>
              <w:pStyle w:val="TableContents"/>
              <w:bidi w:val="0"/>
              <w:spacing w:before="0" w:after="0"/>
              <w:ind w:left="0" w:right="0" w:hanging="0"/>
              <w:jc w:val="center"/>
              <w:rPr/>
            </w:pPr>
            <w:r>
              <w:rPr/>
              <w:t>​</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556,208</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706,180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expense/(benefit)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36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(145,433)</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559,131</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560,747</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amount of income taxes paid net of refunds received disaggregated by jurisdiction for the six months ended June 30, 2025 and 2026 are as follows:</w:t>
      </w:r>
    </w:p>
    <w:p>
      <w:pPr>
        <w:pStyle w:val="TextBody"/>
        <w:bidi w:val="0"/>
        <w:spacing w:before="0" w:after="0"/>
        <w:ind w:left="0" w:right="0" w:hanging="0"/>
        <w:jc w:val="both"/>
        <w:rPr/>
      </w:pPr>
      <w:r>
        <w:rPr/>
        <w:t>​</w:t>
      </w:r>
    </w:p>
    <w:tbl>
      <w:tblPr>
        <w:tblW w:w="4380" w:type="dxa"/>
        <w:jc w:val="left"/>
        <w:tblInd w:w="0" w:type="dxa"/>
        <w:tblLayout w:type="fixed"/>
        <w:tblCellMar>
          <w:top w:w="0" w:type="dxa"/>
          <w:left w:w="0" w:type="dxa"/>
          <w:bottom w:w="0" w:type="dxa"/>
          <w:right w:w="0" w:type="dxa"/>
        </w:tblCellMar>
      </w:tblPr>
      <w:tblGrid>
        <w:gridCol w:w="1411"/>
        <w:gridCol w:w="346"/>
        <w:gridCol w:w="226"/>
        <w:gridCol w:w="841"/>
        <w:gridCol w:w="372"/>
        <w:gridCol w:w="226"/>
        <w:gridCol w:w="958"/>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95985" cy="175260"/>
                      <wp:effectExtent l="0" t="0" r="0" b="0"/>
                      <wp:wrapNone/>
                      <wp:docPr id="218" name="Frame218"/>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3510" cy="175260"/>
                      <wp:effectExtent l="0" t="0" r="0" b="0"/>
                      <wp:wrapNone/>
                      <wp:docPr id="220" name="Frame2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34035" cy="175260"/>
                      <wp:effectExtent l="0" t="0" r="0" b="0"/>
                      <wp:wrapNone/>
                      <wp:docPr id="221" name="Frame2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36220" cy="175260"/>
                      <wp:effectExtent l="0" t="0" r="0" b="0"/>
                      <wp:wrapNone/>
                      <wp:docPr id="222" name="Frame22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3510" cy="175260"/>
                      <wp:effectExtent l="0" t="0" r="0" b="0"/>
                      <wp:wrapNone/>
                      <wp:docPr id="223" name="Frame2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08330" cy="175260"/>
                      <wp:effectExtent l="0" t="0" r="0" b="0"/>
                      <wp:wrapNone/>
                      <wp:docPr id="224" name="Frame224"/>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0"/>
              <w:ind w:left="0" w:right="0" w:hanging="0"/>
              <w:jc w:val="center"/>
              <w:rPr/>
            </w:pPr>
            <w:r>
              <w:rPr/>
              <w:t>  ​ ​ ​</w:t>
            </w:r>
          </w:p>
        </w:tc>
        <w:tc>
          <w:tcPr>
            <w:tcW w:w="11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2" w:type="dxa"/>
            <w:tcBorders/>
            <w:vAlign w:val="center"/>
          </w:tcPr>
          <w:p>
            <w:pPr>
              <w:pStyle w:val="TableContents"/>
              <w:bidi w:val="0"/>
              <w:spacing w:before="0" w:after="0"/>
              <w:ind w:left="0" w:right="0" w:hanging="0"/>
              <w:jc w:val="center"/>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632,467</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92,821</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38,000</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632,467</w:t>
            </w:r>
          </w:p>
        </w:tc>
        <w:tc>
          <w:tcPr>
            <w:tcW w:w="372"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130,821</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(Loss) income before income taxes is attributable to the following geographic locations for the six months ended June 30, 2025 and 2026:</w:t>
      </w:r>
    </w:p>
    <w:p>
      <w:pPr>
        <w:pStyle w:val="TextBody"/>
        <w:bidi w:val="0"/>
        <w:spacing w:before="0" w:after="0"/>
        <w:ind w:left="0" w:right="0" w:hanging="0"/>
        <w:jc w:val="left"/>
        <w:rPr/>
      </w:pPr>
      <w:r>
        <w:rPr/>
        <w:t>​</w:t>
      </w:r>
    </w:p>
    <w:tbl>
      <w:tblPr>
        <w:tblW w:w="4657" w:type="dxa"/>
        <w:jc w:val="left"/>
        <w:tblInd w:w="0" w:type="dxa"/>
        <w:tblLayout w:type="fixed"/>
        <w:tblCellMar>
          <w:top w:w="0" w:type="dxa"/>
          <w:left w:w="0" w:type="dxa"/>
          <w:bottom w:w="0" w:type="dxa"/>
          <w:right w:w="0" w:type="dxa"/>
        </w:tblCellMar>
      </w:tblPr>
      <w:tblGrid>
        <w:gridCol w:w="1411"/>
        <w:gridCol w:w="346"/>
        <w:gridCol w:w="211"/>
        <w:gridCol w:w="1156"/>
        <w:gridCol w:w="346"/>
        <w:gridCol w:w="211"/>
        <w:gridCol w:w="97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95985" cy="175260"/>
                      <wp:effectExtent l="0" t="0" r="0" b="0"/>
                      <wp:wrapNone/>
                      <wp:docPr id="225" name="Frame22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34060" cy="175260"/>
                      <wp:effectExtent l="0" t="0" r="0" b="0"/>
                      <wp:wrapNone/>
                      <wp:docPr id="228" name="Frame22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9760" cy="175260"/>
                      <wp:effectExtent l="0" t="0" r="0" b="0"/>
                      <wp:wrapNone/>
                      <wp:docPr id="231" name="Frame23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(4,915,703)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209,234</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1,351,534</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(5,900,351)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(985,191)</w:t>
            </w:r>
          </w:p>
        </w:tc>
      </w:tr>
      <w:tr>
        <w:trPr/>
        <w:tc>
          <w:tcPr>
            <w:tcW w:w="14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(10,799,996)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574,246</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Deferred tax assets and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significant components of the deferred tax assets and liabilities are as follows:</w:t>
      </w:r>
    </w:p>
    <w:p>
      <w:pPr>
        <w:pStyle w:val="TextBody"/>
        <w:bidi w:val="0"/>
        <w:spacing w:before="0" w:after="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3076"/>
        <w:gridCol w:w="346"/>
        <w:gridCol w:w="211"/>
        <w:gridCol w:w="931"/>
        <w:gridCol w:w="346"/>
        <w:gridCol w:w="211"/>
        <w:gridCol w:w="97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53260" cy="175260"/>
                      <wp:effectExtent l="0" t="0" r="0" b="0"/>
                      <wp:wrapNone/>
                      <wp:docPr id="232" name="Frame232"/>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1185" cy="175260"/>
                      <wp:effectExtent l="0" t="0" r="0" b="0"/>
                      <wp:wrapNone/>
                      <wp:docPr id="235" name="Frame2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19760" cy="175260"/>
                      <wp:effectExtent l="0" t="0" r="0" b="0"/>
                      <wp:wrapNone/>
                      <wp:docPr id="238" name="Frame23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743,288</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770,361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1,518,109</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(587,762)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930,347</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6,500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211" w:name="Tc_rTAyvmma0k-ThCzdg96WbQ_6_5"/>
      <w:bookmarkStart w:id="1212" w:name="Tc_VPXWtvUEJE-W8YSR7t6m5Q_6_2"/>
      <w:bookmarkStart w:id="1213" w:name="Tc_xJrGEJ7590S6lE-z9Ezeyg_6_0"/>
      <w:bookmarkStart w:id="1214" w:name="Tc_ALkcylTIHU-MlhZv5bdPhQ_5_0"/>
      <w:bookmarkStart w:id="1215" w:name="Tc_F_vYZ6zeRk63ToeCRUM4Ug_4_0"/>
      <w:bookmarkStart w:id="1216" w:name="Tc_KM-BQkA2ukWyz_Yg3cSuWg_3_5"/>
      <w:bookmarkStart w:id="1217" w:name="Tc_WTVtn0c74kqvEj7Gl6qwWA_3_2"/>
      <w:bookmarkStart w:id="1218" w:name="Tc_1EBsgyMqLUKjWQeblNG-Pg_3_0"/>
      <w:bookmarkStart w:id="1219" w:name="Tc_cz3uRUTu7kinzglxGnccag_2_5"/>
      <w:bookmarkStart w:id="1220" w:name="Tc_4PFEISbKsk-MuChNsA9btQ_2_2"/>
      <w:bookmarkStart w:id="1221" w:name="Tc_bV9oJBMrHUGCr8-SYWahEA_1_2"/>
      <w:bookmarkStart w:id="1222" w:name="_aae10603_c67b_423b_9554_66b08336bfa4"/>
      <w:bookmarkStart w:id="1223" w:name="Tc_97LeeLGq80y9upW-z3W9cg_6_5"/>
      <w:bookmarkStart w:id="1224" w:name="Tc_sui51qOJQUSu0Su4x8Un6A_6_2"/>
      <w:bookmarkStart w:id="1225" w:name="Tc_YRxycma_bUae388hSqvm1w_6_0"/>
      <w:bookmarkStart w:id="1226" w:name="Tc_JKF2RcRAEEi3WLIw_mdICQ_5_0"/>
      <w:bookmarkStart w:id="1227" w:name="Tc_qZ4ghsB9HkuPNmnHjxQ_Ow_4_0"/>
      <w:bookmarkStart w:id="1228" w:name="Tc_WHPGIHpD40SohMu-Ti3Vjw_3_5"/>
      <w:bookmarkStart w:id="1229" w:name="Tc_K4boJWgw_06MxZazkRnqNQ_3_2"/>
      <w:bookmarkStart w:id="1230" w:name="Tc_fr2lvJMiAkuOybOWFyo5fw_3_0"/>
      <w:bookmarkStart w:id="1231" w:name="Tc_eHND5-z9fkKgGfpMEwcE8g_2_5"/>
      <w:bookmarkStart w:id="1232" w:name="Tc_HE9uhGw9uE6AOZ2TKpUJcQ_2_2"/>
      <w:bookmarkStart w:id="1233" w:name="Tc_6QMx19aTxkuapEduRS_R4w_1_5"/>
      <w:bookmarkStart w:id="1234" w:name="Tc_ZD3K93hGh0qWlbDWB5nghg_1_2"/>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ascii="Times New Roman;Times;serif" w:hAnsi="Times New Roman;Times;serif"/>
          <w:sz w:val="20"/>
        </w:rPr>
        <w:t>The movement of valuation allowance for deferred tax assets for the six months periods presented is as follows:</w:t>
      </w:r>
    </w:p>
    <w:p>
      <w:pPr>
        <w:pStyle w:val="TextBody"/>
        <w:bidi w:val="0"/>
        <w:spacing w:before="0" w:after="0"/>
        <w:ind w:left="0" w:right="0" w:hanging="0"/>
        <w:jc w:val="left"/>
        <w:rPr/>
      </w:pPr>
      <w:r>
        <w:rPr/>
        <w:t>​</w:t>
      </w:r>
    </w:p>
    <w:tbl>
      <w:tblPr>
        <w:tblW w:w="6545" w:type="dxa"/>
        <w:jc w:val="left"/>
        <w:tblInd w:w="0" w:type="dxa"/>
        <w:tblLayout w:type="fixed"/>
        <w:tblCellMar>
          <w:top w:w="0" w:type="dxa"/>
          <w:left w:w="0" w:type="dxa"/>
          <w:bottom w:w="0" w:type="dxa"/>
          <w:right w:w="0" w:type="dxa"/>
        </w:tblCellMar>
      </w:tblPr>
      <w:tblGrid>
        <w:gridCol w:w="3556"/>
        <w:gridCol w:w="346"/>
        <w:gridCol w:w="225"/>
        <w:gridCol w:w="901"/>
        <w:gridCol w:w="346"/>
        <w:gridCol w:w="225"/>
        <w:gridCol w:w="9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58060" cy="175260"/>
                      <wp:effectExtent l="0" t="0" r="0" b="0"/>
                      <wp:wrapNone/>
                      <wp:docPr id="239" name="Frame23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2875" cy="175260"/>
                      <wp:effectExtent l="0" t="0" r="0" b="0"/>
                      <wp:wrapNone/>
                      <wp:docPr id="241" name="Frame24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72135" cy="175260"/>
                      <wp:effectExtent l="0" t="0" r="0" b="0"/>
                      <wp:wrapNone/>
                      <wp:docPr id="242" name="Frame24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2875" cy="175260"/>
                      <wp:effectExtent l="0" t="0" r="0" b="0"/>
                      <wp:wrapNone/>
                      <wp:docPr id="244" name="Frame24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00710" cy="175260"/>
                      <wp:effectExtent l="0" t="0" r="0" b="0"/>
                      <wp:wrapNone/>
                      <wp:docPr id="245" name="Frame24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(914,799)</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(Increase)/decrease in valuation allowance</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(50,045)</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355,184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(824,528)</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(587,762)</w:t>
            </w:r>
          </w:p>
        </w:tc>
      </w:tr>
    </w:tbl>
    <w:p>
      <w:pPr>
        <w:pStyle w:val="TextBody"/>
        <w:bidi w:val="0"/>
        <w:spacing w:before="0" w:after="0"/>
        <w:ind w:left="0" w:right="0" w:hanging="0"/>
        <w:jc w:val="both"/>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Company’s deferred tax assets is dependent upon the generation of future income, exclusive of reversing taxable temporary differences.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Valuation allowances have been established for deferred tax assets based on a more-likely-than-not threshold. Under the applicable accounting standards, management has considered some subsidiaries of the Group’s history of losses and concluded that it is more likely than not that these subsidiaries will not generate future taxable income prior to the expiration of their net operating losses. As a result, management assessed a valuation allowance of $914,799 and $587,762 as of December 31, 2025 and June 30, 2026,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Tax Payables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tax payables consist of the following:</w:t>
      </w:r>
    </w:p>
    <w:p>
      <w:pPr>
        <w:pStyle w:val="TextBody"/>
        <w:bidi w:val="0"/>
        <w:spacing w:before="0" w:after="0"/>
        <w:ind w:left="0" w:right="0" w:hanging="0"/>
        <w:jc w:val="left"/>
        <w:rPr/>
      </w:pPr>
      <w:r>
        <w:rPr/>
        <w:t>​</w:t>
      </w:r>
    </w:p>
    <w:tbl>
      <w:tblPr>
        <w:tblW w:w="5181" w:type="dxa"/>
        <w:jc w:val="left"/>
        <w:tblInd w:w="0" w:type="dxa"/>
        <w:tblLayout w:type="fixed"/>
        <w:tblCellMar>
          <w:top w:w="0" w:type="dxa"/>
          <w:left w:w="0" w:type="dxa"/>
          <w:bottom w:w="0" w:type="dxa"/>
          <w:right w:w="0" w:type="dxa"/>
        </w:tblCellMar>
      </w:tblPr>
      <w:tblGrid>
        <w:gridCol w:w="1741"/>
        <w:gridCol w:w="346"/>
        <w:gridCol w:w="277"/>
        <w:gridCol w:w="1224"/>
        <w:gridCol w:w="346"/>
        <w:gridCol w:w="211"/>
        <w:gridCol w:w="10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105535" cy="175260"/>
                      <wp:effectExtent l="0" t="0" r="0" b="0"/>
                      <wp:wrapNone/>
                      <wp:docPr id="246" name="Frame24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5895" cy="175260"/>
                      <wp:effectExtent l="0" t="0" r="0" b="0"/>
                      <wp:wrapNone/>
                      <wp:docPr id="248" name="Frame24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77240" cy="175260"/>
                      <wp:effectExtent l="0" t="0" r="0" b="0"/>
                      <wp:wrapNone/>
                      <wp:docPr id="249" name="Frame249"/>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57860" cy="175260"/>
                      <wp:effectExtent l="0" t="0" r="0" b="0"/>
                      <wp:wrapNone/>
                      <wp:docPr id="252" name="Frame2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1,080,233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2,386,569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tax payables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3,494,455</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both December 31, 2025 and June 30, 2026, the Company recorded approximately $2.4 million excise tax payable in other tax payables associated with redemptions.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Uncertain tax positions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evaluates each uncertain tax position (including the potential application of interest and penalties) based on the technical merits, and measures the unrecognized benefits associated with the tax positions. As of June 30, 2026, the tax years ended December 31, 2020 through 2025 for the Company’s subsidiaries in the PRC are generally subject to examination by the PRC tax authorities. The Company’s U.S. operations expose it to potential challenges by the Internal Revenue Service and state tax authorities in several areas, including the characterization of income, the deductibility of expenses, and the availability of tax credits or incentives. Tax authorities may challenge its positions, leading to additional tax liabilities. In respect of Hong Kong, the Company’s Hong Kong subsidiaries derived assessable profits and provided for Hong Kong profits tax for the years ended December 31, 2025 and 2024. Under the relevant Hong Kong tax regulations, the Inland Revenue Department is entitled to raise additional assessments for up to six years from the end of the relevant year of assessment, which gives rise to potential exposures relating to uncertain tax positions. As of December 31, 2025 and June 30, 2026, the Company did not have any significant unrecognized uncertain tax positions.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incorporated as a private company under the laws of Cayman Island on June 16,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2026, (1) 1,229,381 ordinary shares issued under Baird Medical 2024 Equity Incentive Plan (see Note 11 for more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there were 500,000,000 ordinary shares authorized, 40,979,382 shares of ordinary shares issued and 30,752,370 shares outstanding. As of June 30, 2026, there were 500,000,000 ordinary shares authorized, 42,208,763 shares of ordinary shares issued and 32,002,370 shares outstanding.</w:t>
      </w:r>
    </w:p>
    <w:p>
      <w:pPr>
        <w:pStyle w:val="TextBody"/>
        <w:bidi w:val="0"/>
        <w:spacing w:before="0" w:after="240"/>
        <w:ind w:left="0" w:right="0" w:hanging="0"/>
        <w:jc w:val="both"/>
        <w:rPr>
          <w:rFonts w:ascii="Times New Roman;Times;serif" w:hAnsi="Times New Roman;Times;serif"/>
          <w:b/>
          <w:sz w:val="20"/>
        </w:rPr>
      </w:pPr>
      <w:bookmarkStart w:id="1235" w:name="Tc_Ux2OXdfQw0qr94dQ_gZ2cQ_9_0"/>
      <w:bookmarkStart w:id="1236" w:name="Tc_TPI6WYRy-0-bZmDb3DkhFQ_8_0"/>
      <w:bookmarkStart w:id="1237" w:name="Tc_Pr_vzT6Vb0ekTCIAW1EZJQ_7_0"/>
      <w:bookmarkStart w:id="1238" w:name="Tc_hLV47k1aHU-YafZlb4z2Ow_6_0"/>
      <w:bookmarkStart w:id="1239" w:name="Tc_7wpRfPJ86kC3IfaYdquVzQ_5_0"/>
      <w:bookmarkStart w:id="1240" w:name="Tc_XfOcUmwZME6lJB_Cu80ERQ_4_0"/>
      <w:bookmarkStart w:id="1241" w:name="Tc_yVryEcyGsEan536SFUoU3w_3_0"/>
      <w:bookmarkStart w:id="1242" w:name="Tc_aZnUTPdYkkC0GDqTCwZY4g_2_2"/>
      <w:bookmarkStart w:id="1243" w:name="Tc_RMCWN7qTtEWmmVBODNshAw_1_2"/>
      <w:bookmarkEnd w:id="1235"/>
      <w:bookmarkEnd w:id="1236"/>
      <w:bookmarkEnd w:id="1237"/>
      <w:bookmarkEnd w:id="1238"/>
      <w:bookmarkEnd w:id="1239"/>
      <w:bookmarkEnd w:id="1240"/>
      <w:bookmarkEnd w:id="1241"/>
      <w:bookmarkEnd w:id="1242"/>
      <w:bookmarkEnd w:id="1243"/>
      <w:r>
        <w:rPr>
          <w:rFonts w:ascii="Times New Roman;Times;serif" w:hAnsi="Times New Roman;Times;serif"/>
          <w:b/>
          <w:sz w:val="20"/>
        </w:rPr>
        <w:t>NOTE 11 — STOCK-BASED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(a) Description of s</w:t>
      </w:r>
      <w:r>
        <w:rPr>
          <w:rFonts w:ascii="Times New Roman;Times;serif" w:hAnsi="Times New Roman;Times;serif"/>
          <w:sz w:val="20"/>
        </w:rPr>
        <w:t xml:space="preserve"> </w:t>
      </w:r>
      <w:r>
        <w:rPr>
          <w:rFonts w:ascii="Times New Roman;Times;serif" w:hAnsi="Times New Roman;Times;serif"/>
          <w:b/>
          <w:sz w:val="20"/>
        </w:rPr>
        <w:t>equity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September 26, 2024, the Company adopted the Baird Medical 2024 Equity Incentive Plan (“2024 Equity Incentive Plan” or “2024 Plan”), under which the Company will grant equity incentive awards to eligible employees, consultants and non-employee directors in order to attract, motivate and retain talented individuals. The initial aggregate number of Ordinary Shares that may be issued or used for reference purposes or with respect to which awards may be granted under the 2024 Equity Incentive Plan shall be equal to 10% of the issued and outstanding Ordinary Shares (on a fully diluted basis) as of immediately after the closing of the Business Combination. The total number of Ordinary Shares that will be reserved, and that may be issued, under the 2024 Equity Incentive Plan will automatically increase on the first trading day of each calendar year, beginning with calendar year 2025, by a number of Ordinary Shares equal to three percent (3%) of the total outstanding Ordinary Shares on the last day of the prior calendar year. Notwithstanding the automatic annual increase set forth in the 2024 Equity Incentive Plan, the board of directors may act prior to January 1st of a given year to provide that there will be no such increase in the Ordinary Shares reserved for such year or that the increase in the Ordinary Shares reserved for such year will be a lesser number of Ordinary Shares than would otherwise occur pursuant to the stipulated percentage.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10, 2026, the Company filed Form S-8. This Registration Statement is being filed by Baird Medical Investment Holdings Limited (the “Registrant”) to register additional Class A ordinary shares issuable pursuant to its 2024 Equity Incentive Plan and consists of only those items required by General Instruction E to Form S-8. Pursuant to certain provisions of the 2024 Equity Incentive Plan (referred to as the “evergreen provisions”), the number of ordinary shares that are available for award grant purposes under the 2024 Equity Incentive Plan is automatically increased each year in accordance with a formula set forth in the 2024 Equity Incentive Plan. Based on the above, the additional securities registered hereby consist of 1,229,381 Class A ordinary shares that were automatically added to the 2024 Plan, effective January 1, 2026, pursuant to the 2024 Equity Incentive Plan’s evergreen provisions.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 has granted total of 5,813,745 restricted share units under the 2024 Equity Incentive Plan, and vested 5,813,745 restricted share units.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 Restricted shares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summary of all the restricted share activities under the 2024 Equity Incentive Plan:</w:t>
      </w:r>
    </w:p>
    <w:p>
      <w:pPr>
        <w:pStyle w:val="TextBody"/>
        <w:bidi w:val="0"/>
        <w:spacing w:before="0" w:after="0"/>
        <w:ind w:left="0" w:right="0" w:hanging="0"/>
        <w:jc w:val="left"/>
        <w:rPr/>
      </w:pPr>
      <w:r>
        <w:rPr/>
        <w:t>​</w:t>
      </w:r>
    </w:p>
    <w:tbl>
      <w:tblPr>
        <w:tblW w:w="6948" w:type="dxa"/>
        <w:jc w:val="left"/>
        <w:tblInd w:w="0" w:type="dxa"/>
        <w:tblLayout w:type="fixed"/>
        <w:tblCellMar>
          <w:top w:w="0" w:type="dxa"/>
          <w:left w:w="0" w:type="dxa"/>
          <w:bottom w:w="0" w:type="dxa"/>
          <w:right w:w="0" w:type="dxa"/>
        </w:tblCellMar>
      </w:tblPr>
      <w:tblGrid>
        <w:gridCol w:w="5506"/>
        <w:gridCol w:w="346"/>
        <w:gridCol w:w="1096"/>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496310" cy="175260"/>
                      <wp:effectExtent l="0" t="0" r="0" b="0"/>
                      <wp:wrapNone/>
                      <wp:docPr id="253" name="Frame253"/>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5960" cy="175260"/>
                      <wp:effectExtent l="0" t="0" r="0" b="0"/>
                      <wp:wrapNone/>
                      <wp:docPr id="255" name="Frame2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5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55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shares issued under 2024 Equity Incentive Plan In 2025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4,617,228</w:t>
            </w:r>
          </w:p>
        </w:tc>
      </w:tr>
      <w:tr>
        <w:trPr/>
        <w:tc>
          <w:tcPr>
            <w:tcW w:w="55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shares issued under 2024 Equity Incentive Plan In 2026</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1,229,381</w:t>
            </w:r>
          </w:p>
        </w:tc>
      </w:tr>
      <w:tr>
        <w:trPr/>
        <w:tc>
          <w:tcPr>
            <w:tcW w:w="55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restricted shares issued under 2024 Equity Incentive Plan</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5,846,609</w:t>
            </w:r>
          </w:p>
        </w:tc>
      </w:tr>
      <w:tr>
        <w:trPr/>
        <w:tc>
          <w:tcPr>
            <w:tcW w:w="55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restricted shares granted in 2025</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(4,563,745)</w:t>
            </w:r>
          </w:p>
        </w:tc>
      </w:tr>
      <w:tr>
        <w:trPr/>
        <w:tc>
          <w:tcPr>
            <w:tcW w:w="55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restricted shares granted in 2026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(1,250,000)</w:t>
            </w:r>
          </w:p>
        </w:tc>
      </w:tr>
      <w:tr>
        <w:trPr/>
        <w:tc>
          <w:tcPr>
            <w:tcW w:w="55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restricted shares granted under 2024 Equity Incentive Plan</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(5,813,745)</w:t>
            </w:r>
          </w:p>
        </w:tc>
      </w:tr>
      <w:tr>
        <w:trPr/>
        <w:tc>
          <w:tcPr>
            <w:tcW w:w="55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Reserved for further issuance under 2024 Equity Incentive Plan</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32,864</w:t>
            </w:r>
          </w:p>
        </w:tc>
      </w:tr>
    </w:tbl>
    <w:p>
      <w:pPr>
        <w:pStyle w:val="TextBody"/>
        <w:bidi w:val="0"/>
        <w:spacing w:before="0" w:after="24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244" w:name="Tc_49meyuA3r0uZ6kPk4ntn-Q_10_4"/>
      <w:bookmarkStart w:id="1245" w:name="Tc_lgXX_-bKykeJX-je60IUuA_10_2"/>
      <w:bookmarkStart w:id="1246" w:name="Tc_mwmRZs-qfEaZPzxJN6pFCg_10_0"/>
      <w:bookmarkStart w:id="1247" w:name="Tc_uCPAcD2bhEe2CO9XUgq8TA_9_0"/>
      <w:bookmarkStart w:id="1248" w:name="Tc_8KUrvIWemUmRMwZKWv2N4A_8_0"/>
      <w:bookmarkStart w:id="1249" w:name="Tc_rYOoSZmAOUKZSPqEmtAGiw_7_0"/>
      <w:bookmarkStart w:id="1250" w:name="Tc_-WThbmwJUUaDChyL-YLl1A_6_0"/>
      <w:bookmarkStart w:id="1251" w:name="Tc_hOWZq5WZd0KteKggRiaeNQ_5_0"/>
      <w:bookmarkStart w:id="1252" w:name="Tc_oSilrlQ5NEeQmxb9sB9qgA_4_4"/>
      <w:bookmarkStart w:id="1253" w:name="Tc_vcZuS7n5JES7LqGOMM70gQ_4_2"/>
      <w:bookmarkStart w:id="1254" w:name="Tc_awQQzdRvOU-skNcPbDRcPQ_4_0"/>
      <w:bookmarkStart w:id="1255" w:name="Tc_hw9AdejRNE6Av5mEK292aw_3_4"/>
      <w:bookmarkStart w:id="1256" w:name="Tc_OCD7ql8HsUqlstVruAqc7Q_3_2"/>
      <w:bookmarkStart w:id="1257" w:name="Tc_Gz8IqQzHdE2yagpR0y9v0g_2_4"/>
      <w:bookmarkStart w:id="1258" w:name="Tc_LySswISBBEiDJ18tjOWhTg_2_2"/>
      <w:bookmarkStart w:id="1259" w:name="Tc_UVsuEbn5zUm_zFv5UyDzaA_1_4"/>
      <w:bookmarkStart w:id="1260" w:name="_73bac185_ac3f_4d87_84ca_9a5ff67b7bf0"/>
      <w:bookmarkStart w:id="1261" w:name="Tc_fZzwACPRjEKSCGxjjjzIYA_10_4"/>
      <w:bookmarkStart w:id="1262" w:name="Tc_anxmyzFAVkidSCO1SwIzfg_10_2"/>
      <w:bookmarkStart w:id="1263" w:name="Tc_ppuQbP8ZmEKf9lO97L7SBw_10_0"/>
      <w:bookmarkStart w:id="1264" w:name="Tc_CKe9y3QVjEC8lhIdJJ6sAQ_9_0"/>
      <w:bookmarkStart w:id="1265" w:name="Tc_ZVJqHrhopUKO0f83iRyS0Q_8_0"/>
      <w:bookmarkStart w:id="1266" w:name="Tc_hMO9ooJSWUa4ubArxi0oYA_7_0"/>
      <w:bookmarkStart w:id="1267" w:name="Tc_072lmUzs_U-j_B1WdeB0fA_6_0"/>
      <w:bookmarkStart w:id="1268" w:name="Tc_xL-aep5ZaUCp7hEGVjzzJg_5_0"/>
      <w:bookmarkStart w:id="1269" w:name="Tc_jn-Mosa3VUWJ2iejxZUTCA_4_4"/>
      <w:bookmarkStart w:id="1270" w:name="Tc_u4V4tu-UDEGFV9m10UCWJA_4_2"/>
      <w:bookmarkStart w:id="1271" w:name="Tc_Ehl9rCChhEWQ7HX7RNuaBg_4_0"/>
      <w:bookmarkStart w:id="1272" w:name="Tc_fJnIY0eGs02kPBjBgAx-jw_3_4"/>
      <w:bookmarkStart w:id="1273" w:name="Tc_xsVQnb9T2kmuf7ZZt7X3hw_3_2"/>
      <w:bookmarkStart w:id="1274" w:name="Tc_ztGvnwyDwEO24L5gC27sdg_2_4"/>
      <w:bookmarkStart w:id="1275" w:name="Tc_oNKKLvriIkCqRoOvsfOAjw_2_2"/>
      <w:bookmarkStart w:id="1276" w:name="Tc_hklq6LU17kKkmSD3tPajAA_1_4"/>
      <w:bookmarkStart w:id="1277" w:name="_b7ea3b8f_0d96_44c9_b914_5d6d753bf671"/>
      <w:bookmarkStart w:id="1278" w:name="Tc_bDY-nw04hEOkZqJNx1bxvQ_10_4"/>
      <w:bookmarkStart w:id="1279" w:name="Tc_dj7peZx0nUqeHTCBV6lavw_10_2"/>
      <w:bookmarkStart w:id="1280" w:name="Tc_wCaZ3tCiuUWF7M_IJm1FiQ_10_0"/>
      <w:bookmarkStart w:id="1281" w:name="Tc_XwsNSfFOCEuuPHJeaCwRQw_9_0"/>
      <w:bookmarkStart w:id="1282" w:name="Tc_8DAy4ABT-E-puKTbrVzfxg_8_0"/>
      <w:bookmarkStart w:id="1283" w:name="Tc__1wOjim9f02TqCE7IuWuSA_7_0"/>
      <w:bookmarkStart w:id="1284" w:name="Tc_OWdGQA0zgUCJ4vsEVJxLkQ_6_0"/>
      <w:bookmarkStart w:id="1285" w:name="Tc_V_arbFNPDkqbUhP7Dm9wJQ_5_0"/>
      <w:bookmarkStart w:id="1286" w:name="Tc_zgEqLU86ikG7Pz3yjwty1w_4_4"/>
      <w:bookmarkStart w:id="1287" w:name="Tc_a_JUknxbhkGJ7Fp42xBqPA_4_2"/>
      <w:bookmarkStart w:id="1288" w:name="Tc_OqZF6gspd0Koah-QzsKtLw_4_0"/>
      <w:bookmarkStart w:id="1289" w:name="Tc_qixTVVS_zkS-pidvyB9HCQ_3_4"/>
      <w:bookmarkStart w:id="1290" w:name="Tc_sCuJ8MjTLkeSiZCgwA9BAw_3_2"/>
      <w:bookmarkStart w:id="1291" w:name="Tc__HL_9ae6f0-lzvdOqPyq0Q_2_4"/>
      <w:bookmarkStart w:id="1292" w:name="Tc_OI1nGWanEUaiM96OG2HDQw_2_2"/>
      <w:bookmarkStart w:id="1293" w:name="Tc_-t60ExjDFkG0P7kClXTkRQ_1_4"/>
      <w:bookmarkStart w:id="1294" w:name="_f60cb19d_f076_4712_922b_17bd99d530c4"/>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sz w:val="20"/>
        </w:rPr>
        <w:t>The following table sets forth the summary of restricted share activities under the 2024 Equity Incentive Plan for the six months ended June 30, 2026:</w:t>
      </w:r>
    </w:p>
    <w:tbl>
      <w:tblPr>
        <w:tblW w:w="7205" w:type="dxa"/>
        <w:jc w:val="left"/>
        <w:tblInd w:w="0" w:type="dxa"/>
        <w:tblLayout w:type="fixed"/>
        <w:tblCellMar>
          <w:top w:w="0" w:type="dxa"/>
          <w:left w:w="0" w:type="dxa"/>
          <w:bottom w:w="0" w:type="dxa"/>
          <w:right w:w="0" w:type="dxa"/>
        </w:tblCellMar>
      </w:tblPr>
      <w:tblGrid>
        <w:gridCol w:w="3241"/>
        <w:gridCol w:w="346"/>
        <w:gridCol w:w="1711"/>
        <w:gridCol w:w="346"/>
        <w:gridCol w:w="1561"/>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58035" cy="175260"/>
                      <wp:effectExtent l="0" t="0" r="0" b="0"/>
                      <wp:wrapNone/>
                      <wp:docPr id="256" name="Frame256"/>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086485" cy="175260"/>
                      <wp:effectExtent l="0" t="0" r="0" b="0"/>
                      <wp:wrapNone/>
                      <wp:docPr id="258" name="Frame25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91235" cy="175260"/>
                      <wp:effectExtent l="0" t="0" r="0" b="0"/>
                      <wp:wrapNone/>
                      <wp:docPr id="260" name="Frame26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 </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Restricted </w:t>
            </w:r>
          </w:p>
        </w:tc>
        <w:tc>
          <w:tcPr>
            <w:tcW w:w="34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1"/>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Unvested as of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Awarded</w:t>
            </w:r>
          </w:p>
        </w:tc>
        <w:tc>
          <w:tcPr>
            <w:tcW w:w="34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1,250,000</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1.9080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w:t>
            </w:r>
          </w:p>
        </w:tc>
        <w:tc>
          <w:tcPr>
            <w:tcW w:w="34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Awarded to employees</w:t>
            </w:r>
          </w:p>
        </w:tc>
        <w:tc>
          <w:tcPr>
            <w:tcW w:w="34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800,000</w:t>
            </w:r>
          </w:p>
        </w:tc>
        <w:tc>
          <w:tcPr>
            <w:tcW w:w="34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1.2616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Awarded to non-employee consultants</w:t>
            </w:r>
          </w:p>
        </w:tc>
        <w:tc>
          <w:tcPr>
            <w:tcW w:w="34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450,000</w:t>
            </w:r>
          </w:p>
        </w:tc>
        <w:tc>
          <w:tcPr>
            <w:tcW w:w="34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0.6464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1"/>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(1,250,000)</w:t>
            </w:r>
          </w:p>
        </w:tc>
        <w:tc>
          <w:tcPr>
            <w:tcW w:w="34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(1.9080)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summary of restricted share activities under the 2024 Equity Incentive Plan for the six months ended June 30, 2025:</w:t>
      </w:r>
    </w:p>
    <w:p>
      <w:pPr>
        <w:pStyle w:val="TextBody"/>
        <w:bidi w:val="0"/>
        <w:spacing w:before="0" w:after="240"/>
        <w:ind w:left="0" w:right="0" w:firstLine="360"/>
        <w:jc w:val="both"/>
        <w:rPr>
          <w:shd w:fill="FFFF00" w:val="clear"/>
        </w:rPr>
      </w:pPr>
      <w:r>
        <w:rPr>
          <w:shd w:fill="FFFF00" w:val="clear"/>
        </w:rPr>
        <w:t>​</w:t>
      </w:r>
    </w:p>
    <w:tbl>
      <w:tblPr>
        <w:tblW w:w="7115" w:type="dxa"/>
        <w:jc w:val="left"/>
        <w:tblInd w:w="0" w:type="dxa"/>
        <w:tblLayout w:type="fixed"/>
        <w:tblCellMar>
          <w:top w:w="0" w:type="dxa"/>
          <w:left w:w="0" w:type="dxa"/>
          <w:bottom w:w="0" w:type="dxa"/>
          <w:right w:w="0" w:type="dxa"/>
        </w:tblCellMar>
      </w:tblPr>
      <w:tblGrid>
        <w:gridCol w:w="3241"/>
        <w:gridCol w:w="346"/>
        <w:gridCol w:w="1666"/>
        <w:gridCol w:w="346"/>
        <w:gridCol w:w="1516"/>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58035" cy="175260"/>
                      <wp:effectExtent l="0" t="0" r="0" b="0"/>
                      <wp:wrapNone/>
                      <wp:docPr id="261" name="Frame26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057910" cy="175260"/>
                      <wp:effectExtent l="0" t="0" r="0" b="0"/>
                      <wp:wrapNone/>
                      <wp:docPr id="263" name="Frame26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62660" cy="175260"/>
                      <wp:effectExtent l="0" t="0" r="0" b="0"/>
                      <wp:wrapNone/>
                      <wp:docPr id="265" name="Frame26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1"/>
              <w:ind w:left="0" w:right="0" w:hanging="0"/>
              <w:jc w:val="center"/>
              <w:rPr/>
            </w:pPr>
            <w:r>
              <w:rPr/>
              <w:t>  ​ ​ ​</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346" w:type="dxa"/>
            <w:tcBorders/>
            <w:vAlign w:val="center"/>
          </w:tcPr>
          <w:p>
            <w:pPr>
              <w:pStyle w:val="TableContents"/>
              <w:bidi w:val="0"/>
              <w:spacing w:before="0" w:after="1"/>
              <w:ind w:left="0" w:right="0" w:hanging="0"/>
              <w:jc w:val="left"/>
              <w:rPr/>
            </w:pPr>
            <w:r>
              <w:rPr/>
              <w:t> </w:t>
            </w:r>
          </w:p>
        </w:tc>
        <w:tc>
          <w:tcPr>
            <w:tcW w:w="1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363,745</w:t>
            </w:r>
          </w:p>
        </w:tc>
        <w:tc>
          <w:tcPr>
            <w:tcW w:w="34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6"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Awarded to employees</w:t>
            </w:r>
          </w:p>
        </w:tc>
        <w:tc>
          <w:tcPr>
            <w:tcW w:w="34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323,745</w:t>
            </w:r>
          </w:p>
        </w:tc>
        <w:tc>
          <w:tcPr>
            <w:tcW w:w="346" w:type="dxa"/>
            <w:tcBorders/>
            <w:vAlign w:val="center"/>
          </w:tcPr>
          <w:p>
            <w:pPr>
              <w:pStyle w:val="TableContents"/>
              <w:bidi w:val="0"/>
              <w:spacing w:before="0" w:after="1"/>
              <w:ind w:left="0" w:right="0" w:hanging="0"/>
              <w:jc w:val="left"/>
              <w:rPr/>
            </w:pPr>
            <w:r>
              <w:rPr/>
              <w:t>​</w:t>
            </w:r>
          </w:p>
        </w:tc>
        <w:tc>
          <w:tcPr>
            <w:tcW w:w="151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5.4313</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Awarded to non-employee consultants</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40,000</w:t>
            </w:r>
          </w:p>
        </w:tc>
        <w:tc>
          <w:tcPr>
            <w:tcW w:w="346" w:type="dxa"/>
            <w:tcBorders/>
            <w:shd w:fill="CCEEFF" w:val="clear"/>
            <w:vAlign w:val="center"/>
          </w:tcPr>
          <w:p>
            <w:pPr>
              <w:pStyle w:val="TableContents"/>
              <w:bidi w:val="0"/>
              <w:spacing w:before="0" w:after="1"/>
              <w:ind w:left="0" w:right="0" w:hanging="0"/>
              <w:jc w:val="left"/>
              <w:rPr/>
            </w:pPr>
            <w:r>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0.4377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1"/>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(363,745)</w:t>
            </w:r>
          </w:p>
        </w:tc>
        <w:tc>
          <w:tcPr>
            <w:tcW w:w="34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restricted share activities to third-party companies for the six months ended June 30, 2026. The following table sets forth the summary of restricted share activities to third-party companies for the six months ended June 30, 2025:</w:t>
      </w:r>
    </w:p>
    <w:tbl>
      <w:tblPr>
        <w:tblW w:w="8900" w:type="dxa"/>
        <w:jc w:val="left"/>
        <w:tblInd w:w="0" w:type="dxa"/>
        <w:tblLayout w:type="fixed"/>
        <w:tblCellMar>
          <w:top w:w="0" w:type="dxa"/>
          <w:left w:w="0" w:type="dxa"/>
          <w:bottom w:w="0" w:type="dxa"/>
          <w:right w:w="0" w:type="dxa"/>
        </w:tblCellMar>
      </w:tblPr>
      <w:tblGrid>
        <w:gridCol w:w="5026"/>
        <w:gridCol w:w="346"/>
        <w:gridCol w:w="1666"/>
        <w:gridCol w:w="346"/>
        <w:gridCol w:w="151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191510" cy="175260"/>
                      <wp:effectExtent l="0" t="0" r="0" b="0"/>
                      <wp:wrapNone/>
                      <wp:docPr id="266" name="Frame266"/>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057910" cy="175260"/>
                      <wp:effectExtent l="0" t="0" r="0" b="0"/>
                      <wp:wrapNone/>
                      <wp:docPr id="268" name="Frame268"/>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62660" cy="175260"/>
                      <wp:effectExtent l="0" t="0" r="0" b="0"/>
                      <wp:wrapNone/>
                      <wp:docPr id="270" name="Frame27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Unvested as of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Awarded</w:t>
            </w:r>
          </w:p>
        </w:tc>
        <w:tc>
          <w:tcPr>
            <w:tcW w:w="346" w:type="dxa"/>
            <w:tcBorders/>
            <w:vAlign w:val="center"/>
          </w:tcPr>
          <w:p>
            <w:pPr>
              <w:pStyle w:val="TableContents"/>
              <w:bidi w:val="0"/>
              <w:spacing w:before="0" w:after="1"/>
              <w:ind w:left="0" w:right="0" w:hanging="0"/>
              <w:jc w:val="left"/>
              <w:rPr/>
            </w:pPr>
            <w:r>
              <w:rPr/>
              <w:t> </w:t>
            </w:r>
          </w:p>
        </w:tc>
        <w:tc>
          <w:tcPr>
            <w:tcW w:w="16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633,529</w:t>
            </w:r>
          </w:p>
        </w:tc>
        <w:tc>
          <w:tcPr>
            <w:tcW w:w="34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6.6200</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Including:</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pPr>
            <w:r>
              <w:rPr/>
              <w:t>  ​</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Awarded to Grand Fortune Capital (H.K.) Company Limited</w:t>
            </w:r>
          </w:p>
        </w:tc>
        <w:tc>
          <w:tcPr>
            <w:tcW w:w="346" w:type="dxa"/>
            <w:tcBorders/>
            <w:vAlign w:val="center"/>
          </w:tcPr>
          <w:p>
            <w:pPr>
              <w:pStyle w:val="TableContents"/>
              <w:bidi w:val="0"/>
              <w:spacing w:before="0" w:after="1"/>
              <w:ind w:left="0" w:right="0" w:hanging="0"/>
              <w:jc w:val="left"/>
              <w:rPr/>
            </w:pPr>
            <w:r>
              <w:rPr/>
              <w:t> </w:t>
            </w:r>
          </w:p>
        </w:tc>
        <w:tc>
          <w:tcPr>
            <w:tcW w:w="166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583,529</w:t>
            </w:r>
          </w:p>
        </w:tc>
        <w:tc>
          <w:tcPr>
            <w:tcW w:w="34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6.0975</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Awarded to J.V.B. Financial Group, LLC</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50,000</w:t>
            </w:r>
          </w:p>
        </w:tc>
        <w:tc>
          <w:tcPr>
            <w:tcW w:w="34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0.5225</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1"/>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(633,529)</w:t>
            </w:r>
          </w:p>
        </w:tc>
        <w:tc>
          <w:tcPr>
            <w:tcW w:w="34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(6.6200)</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 average grant date fair value of restricted shares activities under the 2024 Equity Incentive Plan for the six months ended June 30, 2025 and 2026 was calculated on an aggregate basis across all awards, rather than separately by employee and non-employee classification, as the terms, vesting conditions, and valuation assumptions applicable to these awards are substantially consistent. Accordingly, separate weighted average calculations by participant classification would not provide materially different or more meaningful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 average grant date fair value of restricted shares activities to third-party companies for the six months ended June 30, 2025 was calculated on an aggregate basis across all awards, rather than separately by Grand Fortune Capital (H.K.) Company Limited and J.V.B. Financial Group, LLC.</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and 2025, total Stock-based compensation expenses recognized by the Company and the Group for restricted shares granted were US$2.4 million and $6.3 million, respectively. There was no unrecognized share-based compensation expense as of December 31, 2025 and June 30, 2026.</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295" w:name="Tc_1a1_2HGaxUmD9a-5e54xmw_15_5"/>
      <w:bookmarkStart w:id="1296" w:name="Tc_8WeGXist0UykLboCRIddxg_15_2"/>
      <w:bookmarkStart w:id="1297" w:name="Tc_5k1wKfQ3rUCd7xLaX2ALdw_15_0"/>
      <w:bookmarkStart w:id="1298" w:name="Tc_k5sdRk3FMUeB4ztHQXLtAg_14_5"/>
      <w:bookmarkStart w:id="1299" w:name="Tc_Iuoxwcp_J0udaRUnZxPyug_14_2"/>
      <w:bookmarkStart w:id="1300" w:name="Tc_RHZgcaAeI0u_YmxrIb1PpA_14_0"/>
      <w:bookmarkStart w:id="1301" w:name="Tc_2xOLaT1EtUyDN7VT81n7rw_13_0"/>
      <w:bookmarkStart w:id="1302" w:name="Tc_cBhr2Rd0AUC8_qvgvldEqQ_12_6"/>
      <w:bookmarkStart w:id="1303" w:name="Tc_p0cu-1hH8kGI6TvDjPH5Jw_12_3"/>
      <w:bookmarkStart w:id="1304" w:name="Tc_1SJbJN8mkEu8KvwJH3CsJg_12_0"/>
      <w:bookmarkStart w:id="1305" w:name="Tc_rZSj-vZDwkaIgbzp37Oyvw_11_0"/>
      <w:bookmarkStart w:id="1306" w:name="Tc_Wm3GBXuZWkOP7yuB0-dVow_10_0"/>
      <w:bookmarkStart w:id="1307" w:name="Tc_BVuumtV5mE-EtMkIgAoTqQ_9_0"/>
      <w:bookmarkStart w:id="1308" w:name="Tc_sPhiyUGPl0yDkGkEjwnxlA_8_6"/>
      <w:bookmarkStart w:id="1309" w:name="Tc_GvwPY1Kobk-5b7EZj1d9lA_8_3"/>
      <w:bookmarkStart w:id="1310" w:name="Tc_e1AtPPhGL0-72VKXJziWcQ_8_0"/>
      <w:bookmarkStart w:id="1311" w:name="Tc__2gDP3BRlkaEMmYJTE90BA_7_0"/>
      <w:bookmarkStart w:id="1312" w:name="Tc_KZQd0ZRyo0WXpx7MfOvbyw_6_0"/>
      <w:bookmarkStart w:id="1313" w:name="Tc_QeAt4e_w8kS4bC8YksjFmQ_5_5"/>
      <w:bookmarkStart w:id="1314" w:name="Tc_LjlZxVV-4kyFHgyngevELQ_5_2"/>
      <w:bookmarkStart w:id="1315" w:name="Tc_bp10UJ10dEeGGdzALMZIVw_5_0"/>
      <w:bookmarkStart w:id="1316" w:name="Tc_yR3ZbLwNdU6kzz7ZXF3w5Q_4_0"/>
      <w:bookmarkStart w:id="1317" w:name="Tc_yZl2wli6u0amXRqw0B_CNw_3_5"/>
      <w:bookmarkStart w:id="1318" w:name="Tc_p2POCVmFhEWloqBM7_dwoQ_3_2"/>
      <w:bookmarkStart w:id="1319" w:name="Tc_bTJQzAe3yUqYYQG966_wzQ_2_5"/>
      <w:bookmarkStart w:id="1320" w:name="Tc_HMvAFn_EjESe9kC1Q3HYSA_2_2"/>
      <w:bookmarkStart w:id="1321" w:name="Tc_zafC2s8gS0muHzQyKseWxQ_1_2"/>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rFonts w:ascii="Times New Roman;Times;serif" w:hAnsi="Times New Roman;Times;serif"/>
          <w:b/>
          <w:sz w:val="20"/>
        </w:rPr>
        <w:t>NOTE 12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and diluted loss per share have been calculated in accordance with ASC 260 for the six months ended June 30, 2025 and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61"/>
        <w:gridCol w:w="346"/>
        <w:gridCol w:w="211"/>
        <w:gridCol w:w="1148"/>
        <w:gridCol w:w="346"/>
        <w:gridCol w:w="211"/>
        <w:gridCol w:w="1082"/>
      </w:tblGrid>
      <w:tr>
        <w:trPr/>
        <w:tc>
          <w:tcPr>
            <w:tcW w:w="6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356735" cy="175260"/>
                      <wp:effectExtent l="0" t="0" r="0" b="0"/>
                      <wp:wrapNone/>
                      <wp:docPr id="271" name="Frame271"/>
                      <a:graphic xmlns:a="http://schemas.openxmlformats.org/drawingml/2006/main">
                        <a:graphicData uri="http://schemas.microsoft.com/office/word/2010/wordprocessingShape">
                          <wps:wsp>
                            <wps:cNvSpPr txBox="1"/>
                            <wps:spPr>
                              <a:xfrm>
                                <a:off x="0" y="0"/>
                                <a:ext cx="435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28980" cy="175260"/>
                      <wp:effectExtent l="0" t="0" r="0" b="0"/>
                      <wp:wrapNone/>
                      <wp:docPr id="274" name="Frame274"/>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87070" cy="175260"/>
                      <wp:effectExtent l="0" t="0" r="0" b="0"/>
                      <wp:wrapNone/>
                      <wp:docPr id="277" name="Frame277"/>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6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  ​</w:t>
            </w:r>
          </w:p>
        </w:tc>
      </w:tr>
      <w:tr>
        <w:trPr/>
        <w:tc>
          <w:tcPr>
            <w:tcW w:w="6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Baird Medical Investment Holdings Limited’s shareholders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(11,293,895)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35,405</w:t>
            </w:r>
          </w:p>
        </w:tc>
      </w:tr>
      <w:tr>
        <w:trPr/>
        <w:tc>
          <w:tcPr>
            <w:tcW w:w="6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to preferred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(101,500)</w:t>
            </w:r>
          </w:p>
        </w:tc>
      </w:tr>
      <w:tr>
        <w:trPr/>
        <w:tc>
          <w:tcPr>
            <w:tcW w:w="6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Company’s ordinary shareholders - 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(11,395,395)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(66,095)</w:t>
            </w:r>
          </w:p>
        </w:tc>
      </w:tr>
      <w:tr>
        <w:trPr/>
        <w:tc>
          <w:tcPr>
            <w:tcW w:w="6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factors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w:t>
            </w:r>
          </w:p>
        </w:tc>
      </w:tr>
      <w:tr>
        <w:trPr/>
        <w:tc>
          <w:tcPr>
            <w:tcW w:w="6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Company’s ordinary shareholders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(11,395,395)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(66,095)</w:t>
            </w:r>
          </w:p>
        </w:tc>
      </w:tr>
      <w:tr>
        <w:trPr/>
        <w:tc>
          <w:tcPr>
            <w:tcW w:w="6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2" w:type="dxa"/>
            <w:tcBorders/>
            <w:shd w:fill="CCEEFF" w:val="clear"/>
            <w:vAlign w:val="center"/>
          </w:tcPr>
          <w:p>
            <w:pPr>
              <w:pStyle w:val="TableContents"/>
              <w:bidi w:val="0"/>
              <w:spacing w:before="0" w:after="0"/>
              <w:ind w:left="0" w:right="0" w:hanging="0"/>
              <w:jc w:val="right"/>
              <w:rPr/>
            </w:pPr>
            <w:r>
              <w:rPr/>
              <w:t>​</w:t>
            </w:r>
          </w:p>
        </w:tc>
      </w:tr>
      <w:tr>
        <w:trPr/>
        <w:tc>
          <w:tcPr>
            <w:tcW w:w="6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26,402,382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31,330,271</w:t>
            </w:r>
          </w:p>
        </w:tc>
      </w:tr>
      <w:tr>
        <w:trPr/>
        <w:tc>
          <w:tcPr>
            <w:tcW w:w="6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dilutive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26,402,382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31,330,271</w:t>
            </w:r>
          </w:p>
        </w:tc>
      </w:tr>
      <w:tr>
        <w:trPr/>
        <w:tc>
          <w:tcPr>
            <w:tcW w:w="6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(0.002)</w:t>
            </w:r>
          </w:p>
        </w:tc>
      </w:tr>
      <w:tr>
        <w:trPr/>
        <w:tc>
          <w:tcPr>
            <w:tcW w:w="6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per share, diluted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(0.002)</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unrestricted ordinary shares outstanding during the year using the two-class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two-class method, net income/(loss) is allocated between ordinary shares and other participating securities based on their participating rights. Diluted earnings/(loss) per share is calculated by dividing net income/(loss) attributable to ordinary shareholders as adjusted for the effect of dilutive ordinary equivalent shares, if any, by the weighted average number of ordinary and dilutive ordinary equivalent shares outstanding during the period. Ordinary share equivalents are excluded from the computation of diluted per share if their effects would be anti-dilutive.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preferred shares are participating securities because they are entitled to receive dividends or distributions on an as converted basis. The computation of diluted net income/(loss) per share does not assume conversion, exercise, or contingent issuance of securities that would have an anti-dilutive effect (i.e. an increase in earnings per share amounts or a decrease in loss per share amounts) on net income/(loss) per share. For the six months ended June 30, 2025 and 2026, the computation of diluted net loss per share does not assume conversion, exercise, or contingent issuance of the Company’s preferred shares that would have an anti-dilutive effect (i.e. a decrease in loss per share amounts) on net loss per share. 8,823,529 earnout shares and 1,350,000 earnout shares are earnout arrangements that are subject to the contingently issuable shares guidance in ASC 260-10-45. They were excluded from the computation of earnings per share because they are included in the denominator in computing earnings per share only when the contingency has been met and there is no longer a circumstance in which those shares would not be issued in accordance with ASC260. 11,500,000 units of public warrants were excluded from the computation of diluted net loss per ordinary share because including them would have had an anti-dilutive effect for the six months ended June 30, 2025 and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22" w:name="Tc__rchD9CDDkqfmuomrEMXqg_7_7"/>
      <w:bookmarkStart w:id="1323" w:name="Tc_TMlpp8jiYE6_PYqWHiG40A_7_4"/>
      <w:bookmarkStart w:id="1324" w:name="Tc_rTUXGhV61UmwkhrbXeJz9w_7_0"/>
      <w:bookmarkStart w:id="1325" w:name="Tc_Gx_YOguFwkiAhZuqylEuRQ_6_8"/>
      <w:bookmarkStart w:id="1326" w:name="Tc_JSKv_5xQfUeZ_cDxARmblA_6_2"/>
      <w:bookmarkStart w:id="1327" w:name="Tc_qg7EbcPDwkSlV3dp5bcJQQ_6_0"/>
      <w:bookmarkStart w:id="1328" w:name="Tc_jB3tsXaryU2n3EPv-HcTfg_5_2"/>
      <w:bookmarkStart w:id="1329" w:name="Tc_TBC5CWkJP0qNjvxL5W05Ow_5_0"/>
      <w:bookmarkStart w:id="1330" w:name="Tc_MWohwgJ0Lk6QZb32X-7jSw_4_7"/>
      <w:bookmarkStart w:id="1331" w:name="Tc__w_pcHzGIUafdTsl05btHA_4_4"/>
      <w:bookmarkStart w:id="1332" w:name="Tc_a_sCVUDTGUiGUYjeeQKmrw_4_2"/>
      <w:bookmarkStart w:id="1333" w:name="Tc_yc-sV-sn0ky10z1B72bsWg_4_0"/>
      <w:bookmarkStart w:id="1334" w:name="Tc_G0ZRvUL1YkqGgM87GLTELg_3_7"/>
      <w:bookmarkStart w:id="1335" w:name="Tc_9KhSSX_3SUGmisLi5rhgRA_3_4"/>
      <w:bookmarkStart w:id="1336" w:name="Tc_RSIHNrs9fkCIzPDFT1D4VQ_3_2"/>
      <w:bookmarkStart w:id="1337" w:name="Tc_9MiTvc6c_UyXaxSepB8F_A_3_0"/>
      <w:bookmarkStart w:id="1338" w:name="Tc_WczwB_NEw0e8XeszC5sjNA_2_7"/>
      <w:bookmarkStart w:id="1339" w:name="Tc_EFGBy1BtAEmvnHL6rgzVpA_2_4"/>
      <w:bookmarkStart w:id="1340" w:name="Tc_1od4qBF61UeR2HMWXiZp2g_1_4"/>
      <w:bookmarkStart w:id="1341" w:name="Tc_1YbP5swJY0aqi7Zn8SQ0sQ_10_5"/>
      <w:bookmarkStart w:id="1342" w:name="Tc_xCSg18hH8k62TrVVXseGfQ_10_2"/>
      <w:bookmarkStart w:id="1343" w:name="Tc_0NtSVFqqLk-ERI_iua0BXw_10_0"/>
      <w:bookmarkStart w:id="1344" w:name="Tc_s0QRuLes3U-Y6QN-_9-PBQ_9_5"/>
      <w:bookmarkStart w:id="1345" w:name="Tc_oC_7LTabE0S13LDX3lFXow_9_2"/>
      <w:bookmarkStart w:id="1346" w:name="Tc_NvZIaKyvxE2ky-Fat2NPIA_9_0"/>
      <w:bookmarkStart w:id="1347" w:name="Tc_Kg1ooHEKB0ambwhCRUFIsw_8_2"/>
      <w:bookmarkStart w:id="1348" w:name="Tc_MhT93Eq6PEm1I63Dx-Q5Eg_8_0"/>
      <w:bookmarkStart w:id="1349" w:name="Tc_B2EzX12WY0mGRrCx1fogqA_7_0"/>
      <w:bookmarkStart w:id="1350" w:name="Tc_BW6-0GEs706zQncv7rgZQA_6_5"/>
      <w:bookmarkStart w:id="1351" w:name="Tc_f1vnMHfYoUKjivAe0pqUYA_6_2"/>
      <w:bookmarkStart w:id="1352" w:name="Tc_mLBTj3XgokWs2Z8cdacaOw_6_0"/>
      <w:bookmarkStart w:id="1353" w:name="Tc_AiJH2u9uNkeTD6FORvqisQ_5_0"/>
      <w:bookmarkStart w:id="1354" w:name="Tc_F9w0kA_bwkCb-dNwYnc9gg_4_0"/>
      <w:bookmarkStart w:id="1355" w:name="Tc_kSQpJAo1l0q_m_OO4Yld2w_3_5"/>
      <w:bookmarkStart w:id="1356" w:name="Tc_FprRiYce9ECL0nArEE6V5A_3_2"/>
      <w:bookmarkStart w:id="1357" w:name="Tc_2cBPGmslAkC03Bu70J_lNQ_2_5"/>
      <w:bookmarkStart w:id="1358" w:name="Tc_C3wZP-Fgh0u3l5c1lJ45Fg_2_2"/>
      <w:bookmarkStart w:id="1359" w:name="Tc_YCg7YwN4WUOV8s5qAUTDlA_1_2"/>
      <w:bookmarkStart w:id="1360" w:name="_b5b401e8_9024_40ca_b36d_83e8b9b33c3a"/>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r>
        <w:rPr>
          <w:rFonts w:ascii="Times New Roman;Times;serif" w:hAnsi="Times New Roman;Times;serif"/>
          <w:b/>
          <w:sz w:val="20"/>
        </w:rPr>
        <w:t>NOTE 13 — 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operational decisions. The related parties that had balances with the Company as of December 31, 2025 and June 30, 2026 consisted of:</w:t>
      </w:r>
    </w:p>
    <w:tbl>
      <w:tblPr>
        <w:tblW w:w="2436" w:type="dxa"/>
        <w:jc w:val="left"/>
        <w:tblInd w:w="0" w:type="dxa"/>
        <w:tblLayout w:type="fixed"/>
        <w:tblCellMar>
          <w:top w:w="28" w:type="dxa"/>
          <w:left w:w="28" w:type="dxa"/>
          <w:bottom w:w="28" w:type="dxa"/>
          <w:right w:w="28" w:type="dxa"/>
        </w:tblCellMar>
      </w:tblPr>
      <w:tblGrid>
        <w:gridCol w:w="124"/>
        <w:gridCol w:w="31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balances</w:t>
            </w:r>
          </w:p>
        </w:tc>
      </w:tr>
    </w:tbl>
    <w:p>
      <w:pPr>
        <w:pStyle w:val="TextBody"/>
        <w:bidi w:val="0"/>
        <w:spacing w:before="0" w:after="0"/>
        <w:ind w:left="0" w:right="0" w:hanging="0"/>
        <w:jc w:val="left"/>
        <w:rPr/>
      </w:pPr>
      <w:r>
        <w:rPr/>
        <w:t>​</w:t>
      </w:r>
    </w:p>
    <w:tbl>
      <w:tblPr>
        <w:tblW w:w="7491" w:type="dxa"/>
        <w:jc w:val="left"/>
        <w:tblInd w:w="0" w:type="dxa"/>
        <w:tblLayout w:type="fixed"/>
        <w:tblCellMar>
          <w:top w:w="0" w:type="dxa"/>
          <w:left w:w="0" w:type="dxa"/>
          <w:bottom w:w="0" w:type="dxa"/>
          <w:right w:w="0" w:type="dxa"/>
        </w:tblCellMar>
      </w:tblPr>
      <w:tblGrid>
        <w:gridCol w:w="4051"/>
        <w:gridCol w:w="346"/>
        <w:gridCol w:w="277"/>
        <w:gridCol w:w="1224"/>
        <w:gridCol w:w="346"/>
        <w:gridCol w:w="211"/>
        <w:gridCol w:w="103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572385" cy="175260"/>
                      <wp:effectExtent l="0" t="0" r="0" b="0"/>
                      <wp:wrapNone/>
                      <wp:docPr id="278" name="Frame27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75895" cy="175260"/>
                      <wp:effectExtent l="0" t="0" r="0" b="0"/>
                      <wp:wrapNone/>
                      <wp:docPr id="280" name="Frame28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77240" cy="175260"/>
                      <wp:effectExtent l="0" t="0" r="0" b="0"/>
                      <wp:wrapNone/>
                      <wp:docPr id="281" name="Frame281"/>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57860" cy="175260"/>
                      <wp:effectExtent l="0" t="0" r="0" b="0"/>
                      <wp:wrapNone/>
                      <wp:docPr id="284" name="Frame2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related parties:</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Quan Qiu</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149,860</w:t>
            </w:r>
          </w:p>
        </w:tc>
      </w:tr>
      <w:tr>
        <w:trPr/>
        <w:tc>
          <w:tcPr>
            <w:tcW w:w="40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Betters Medical Investment Holdings Limited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3,390,997</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3,540,857</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Betters Medical Investment Holdings Limited is a related party of the Company under common control. The nature of the balance is mainly the listing expenses paid by Betters Medical Investment Holdings Limited on behalf of the Company.</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(b)Related parties’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 forth the amount of related party transactions as of the date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36"/>
        <w:gridCol w:w="346"/>
        <w:gridCol w:w="3953"/>
        <w:gridCol w:w="346"/>
        <w:gridCol w:w="211"/>
        <w:gridCol w:w="879"/>
        <w:gridCol w:w="346"/>
        <w:gridCol w:w="211"/>
        <w:gridCol w:w="1077"/>
      </w:tblGrid>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58165" cy="175260"/>
                      <wp:effectExtent l="0" t="0" r="0" b="0"/>
                      <wp:wrapNone/>
                      <wp:docPr id="287" name="Frame287"/>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83895" cy="175260"/>
                      <wp:effectExtent l="0" t="0" r="0" b="0"/>
                      <wp:wrapNone/>
                      <wp:docPr id="290" name="Frame290"/>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95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7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95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28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8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Related Party</w:t>
            </w:r>
          </w:p>
        </w:tc>
        <w:tc>
          <w:tcPr>
            <w:tcW w:w="346" w:type="dxa"/>
            <w:tcBorders/>
            <w:vAlign w:val="center"/>
          </w:tcPr>
          <w:p>
            <w:pPr>
              <w:pStyle w:val="TableContents"/>
              <w:bidi w:val="0"/>
              <w:spacing w:before="0" w:after="1"/>
              <w:ind w:left="0" w:right="0" w:hanging="0"/>
              <w:jc w:val="center"/>
              <w:rPr/>
            </w:pPr>
            <w:r>
              <w:rPr/>
              <w:t>  ​ ​ ​</w:t>
            </w:r>
          </w:p>
        </w:tc>
        <w:tc>
          <w:tcPr>
            <w:tcW w:w="39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w:t>
            </w:r>
          </w:p>
        </w:tc>
        <w:tc>
          <w:tcPr>
            <w:tcW w:w="346" w:type="dxa"/>
            <w:tcBorders/>
            <w:vAlign w:val="center"/>
          </w:tcPr>
          <w:p>
            <w:pPr>
              <w:pStyle w:val="TableContents"/>
              <w:bidi w:val="0"/>
              <w:spacing w:before="0" w:after="1"/>
              <w:ind w:left="0" w:right="0" w:hanging="0"/>
              <w:jc w:val="center"/>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12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39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of Interest-free advances for operation from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678,431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179,201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1"/>
              <w:ind w:left="0" w:right="0" w:hanging="0"/>
              <w:jc w:val="left"/>
              <w:rPr/>
            </w:pPr>
            <w:r>
              <w:rPr/>
              <w:t> </w:t>
            </w:r>
          </w:p>
        </w:tc>
        <w:tc>
          <w:tcPr>
            <w:tcW w:w="39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Interest-free advances for operation to a related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(1,659,767)</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39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Interest-free advances for listing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9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719,684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(1,480,566)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361" w:name="Tc_fIdS6Rf_-0SldXaxFrYQhg_6_8"/>
      <w:bookmarkStart w:id="1362" w:name="Tc_gzRBPx4YW0-5MYa4zvVSWw_6_5"/>
      <w:bookmarkStart w:id="1363" w:name="Tc_Yz37o5HFaUe56kC7wjCmAw_6_2"/>
      <w:bookmarkStart w:id="1364" w:name="Tc_RRP9H-Dl7Emi5gf3HAbRKA_6_0"/>
      <w:bookmarkStart w:id="1365" w:name="Tc_xjbz3e4GREiDUvcNi3j1gA_5_0"/>
      <w:bookmarkStart w:id="1366" w:name="Tc_xScX46OpxkGEg9veCKWlvQ_4_0"/>
      <w:bookmarkStart w:id="1367" w:name="Tc_HcpQmTbwPkGRtfp7HT6JeA_3_9"/>
      <w:bookmarkStart w:id="1368" w:name="Tc_sPXjZKX9nU-culiDWevBJA_3_8"/>
      <w:bookmarkStart w:id="1369" w:name="Tc_P0l8QS-hikOUKZsteNhcDw_3_5"/>
      <w:bookmarkStart w:id="1370" w:name="Tc_SKpCwzpxRkqrf6p_VipIdQ_3_2"/>
      <w:bookmarkStart w:id="1371" w:name="Tc_WvWXfCSIdE-2-i3zw2zNdA_3_0"/>
      <w:bookmarkStart w:id="1372" w:name="Tc_wnuQ4su6hEaJtUmHaSkR0g_2_8"/>
      <w:bookmarkStart w:id="1373" w:name="Tc_L_C8QeKvpkyMMZGjisWZSA_2_5"/>
      <w:bookmarkStart w:id="1374" w:name="Tc_KNtncTv2LEeFlm8tAliR0g_2_2"/>
      <w:bookmarkStart w:id="1375" w:name="Tc_hfSVo3XmhUy1mF_TcnzkZg_1_2"/>
      <w:bookmarkStart w:id="1376" w:name="_33c37d4b_b2fc_436d_986f_7e765c8398ad"/>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imes New Roman;Times;serif" w:hAnsi="Times New Roman;Times;serif"/>
          <w:b/>
          <w:sz w:val="20"/>
        </w:rPr>
        <w:t>NOTE 14 — COMMITMENTS AND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Company’s contractual obligations as of June 30, 2026.</w:t>
      </w:r>
    </w:p>
    <w:tbl>
      <w:tblPr>
        <w:tblW w:w="6758" w:type="dxa"/>
        <w:jc w:val="left"/>
        <w:tblInd w:w="0" w:type="dxa"/>
        <w:tblLayout w:type="fixed"/>
        <w:tblCellMar>
          <w:top w:w="0" w:type="dxa"/>
          <w:left w:w="0" w:type="dxa"/>
          <w:bottom w:w="0" w:type="dxa"/>
          <w:right w:w="0" w:type="dxa"/>
        </w:tblCellMar>
      </w:tblPr>
      <w:tblGrid>
        <w:gridCol w:w="1906"/>
        <w:gridCol w:w="346"/>
        <w:gridCol w:w="211"/>
        <w:gridCol w:w="1036"/>
        <w:gridCol w:w="346"/>
        <w:gridCol w:w="223"/>
        <w:gridCol w:w="1097"/>
        <w:gridCol w:w="346"/>
        <w:gridCol w:w="211"/>
        <w:gridCol w:w="103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10310" cy="175260"/>
                      <wp:effectExtent l="0" t="0" r="0" b="0"/>
                      <wp:wrapNone/>
                      <wp:docPr id="291" name="Frame29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57860" cy="175260"/>
                      <wp:effectExtent l="0" t="0" r="0" b="0"/>
                      <wp:wrapNone/>
                      <wp:docPr id="294" name="Frame2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41605" cy="175260"/>
                      <wp:effectExtent l="0" t="0" r="0" b="0"/>
                      <wp:wrapNone/>
                      <wp:docPr id="296" name="Frame29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6595" cy="175260"/>
                      <wp:effectExtent l="0" t="0" r="0" b="0"/>
                      <wp:wrapNone/>
                      <wp:docPr id="297" name="Frame29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7860" cy="175260"/>
                      <wp:effectExtent l="0" t="0" r="0" b="0"/>
                      <wp:wrapNone/>
                      <wp:docPr id="300" name="Frame3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5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10,760,200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10,760,200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payment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201,782</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53,900</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7,595,580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3,320,980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4,274,600</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18,557,562</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14,229,062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4,328,500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shown above, the Company did not have any significant capital and other commitments, long-term obligations or guarantees as of June 30, 2026. In the ordinary course of the business, the Company is subject to periodic legal or administrative proceedings. As of June 30, 2026, the Company is not a party to any legal or administrative proceedings which will have a material adverse effect on the Company’s business, financial position, results of operations and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77" w:name="Tc_5XNqfHH53Uup2hy9lxMKFA_6_5"/>
      <w:bookmarkStart w:id="1378" w:name="Tc_HJnJDZeG5EG7pQ8fLK_B5Q_6_2"/>
      <w:bookmarkStart w:id="1379" w:name="Tc_f_lmpiu1J0-TSjKnVZSqAg_6_0"/>
      <w:bookmarkStart w:id="1380" w:name="Tc__CwhX14gTUmrXukw6ReeOQ_5_0"/>
      <w:bookmarkStart w:id="1381" w:name="Tc_gHnUFCWe9EK9Iv5sxVmG8w_4_0"/>
      <w:bookmarkStart w:id="1382" w:name="Tc_rpomGV-omkCo2m1ZbfmW5Q_3_5"/>
      <w:bookmarkStart w:id="1383" w:name="Tc_PIDFKtnFJU2gfr9tdCsYOg_3_3"/>
      <w:bookmarkStart w:id="1384" w:name="Tc_vFmV28eExkGH83vaT-AKmQ_3_2"/>
      <w:bookmarkStart w:id="1385" w:name="Tc_KrKcl5Aw8UuXxCQn7xiWcw_3_0"/>
      <w:bookmarkStart w:id="1386" w:name="Tc_HnnCqmbD2Eqp5lpqfwT1Yg_2_5"/>
      <w:bookmarkStart w:id="1387" w:name="Tc_L1sZTG-AB0magS4q7Nx8Zw_2_2"/>
      <w:bookmarkStart w:id="1388" w:name="Tc_qBH6_sx7IkuN9iAT-LLzLA_1_2"/>
      <w:bookmarkStart w:id="1389" w:name="_8f55cb49_b55b_4516_9f0c_dddaca6f5b7a"/>
      <w:bookmarkStart w:id="1390" w:name="Tc_1YuLJHCuYkuKGN2ZWUaQVQ_17_0"/>
      <w:bookmarkStart w:id="1391" w:name="Tc_YDyVzm3930iXYwa30qT8rg_16_0"/>
      <w:bookmarkStart w:id="1392" w:name="Tc_V7q9WtvM9kugV0q-EUqBsw_15_0"/>
      <w:bookmarkStart w:id="1393" w:name="Tc_oWOWxxvIR0WUyMrwkIGOcg_14_0"/>
      <w:bookmarkStart w:id="1394" w:name="Tc_5pAclZMlX0uc-UkN-zBduQ_13_0"/>
      <w:bookmarkStart w:id="1395" w:name="Tc_6aP-uwr8KEuOf0Qv0urrtQ_12_0"/>
      <w:bookmarkStart w:id="1396" w:name="Tc_ieKxUKYph0CvO7eOUkRZVg_11_0"/>
      <w:bookmarkStart w:id="1397" w:name="Tc_gSdU4nzM7UOut__Z54FKgw_10_0"/>
      <w:bookmarkStart w:id="1398" w:name="Tc_vJbVmJSobE69h84fjhZKvA_9_0"/>
      <w:bookmarkStart w:id="1399" w:name="Tc_ud8tdpss80yTTIMRktyiGA_8_0"/>
      <w:bookmarkStart w:id="1400" w:name="Tc_QGQWmOOHf06Q6NWSTFjlEg_7_0"/>
      <w:bookmarkStart w:id="1401" w:name="Tc_rWgalOArbUSFW3A8qBIvXg_6_0"/>
      <w:bookmarkStart w:id="1402" w:name="Tc_PDIBN4KBzE2c5kA7TQ7_uA_5_0"/>
      <w:bookmarkStart w:id="1403" w:name="Tc_Kz3w_WizgU-CZDJZAex9ig_4_5"/>
      <w:bookmarkStart w:id="1404" w:name="Tc_1diOecGKGES_wTyt5bxNog_4_2"/>
      <w:bookmarkStart w:id="1405" w:name="Tc_jX5nkFcpzEeRkPoxO2irwQ_4_0"/>
      <w:bookmarkStart w:id="1406" w:name="Tc_cQ0UzdoZ6Eu8MR_vy-9mCQ_3_5"/>
      <w:bookmarkStart w:id="1407" w:name="Tc_ws4x6GijiEKkmjRC8Rp-Ng_3_2"/>
      <w:bookmarkStart w:id="1408" w:name="Tc_L5oe_ZU9YEynM_dOkr-AKw_2_5"/>
      <w:bookmarkStart w:id="1409" w:name="Tc_nUFOejab00KHF0M_5PdBmw_2_2"/>
      <w:bookmarkStart w:id="1410" w:name="Tc_6mt4F13gxkCqROUlSOUUgg_1_2"/>
      <w:bookmarkStart w:id="1411" w:name="Tc_U48lD--fM06KKQQU46yGpw_8_0"/>
      <w:bookmarkStart w:id="1412" w:name="Tc_LTsTF2DBKUaprgY68uIpkw_7_3"/>
      <w:bookmarkStart w:id="1413" w:name="Tc_KWSg1fXCu0-qSLx8iKmlCg_7_0"/>
      <w:bookmarkStart w:id="1414" w:name="Tc_v9_Od_rOt0iqoqz5MnCrHg_6_0"/>
      <w:bookmarkStart w:id="1415" w:name="Tc_qiv4o0PHyEmxeZIU73fFgg_5_0"/>
      <w:bookmarkStart w:id="1416" w:name="Tc_amSubI3P706LPg8Btsymgg_4_5"/>
      <w:bookmarkStart w:id="1417" w:name="Tc_Ql3XM1AXH0apftucTNEZCQ_4_2"/>
      <w:bookmarkStart w:id="1418" w:name="Tc_tpNc8Po70kCg_xM_WEraHQ_4_0"/>
      <w:bookmarkStart w:id="1419" w:name="Tc_8p1qqLUaEUW5TAaJeiapMw_3_5"/>
      <w:bookmarkStart w:id="1420" w:name="Tc_vNlCQQ4NtkqB2_2wFJW8Kg_3_2"/>
      <w:bookmarkStart w:id="1421" w:name="Tc_BBwVhzaUL0CHSqMOXmZ9nQ_2_5"/>
      <w:bookmarkStart w:id="1422" w:name="Tc_Iw-ht-y3V065zOWI5tNzvw_2_2"/>
      <w:bookmarkStart w:id="1423" w:name="Tc_PB7Hud8P0EimLE63NLhUnA_1_2"/>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r>
        <w:rPr>
          <w:rFonts w:ascii="Times New Roman;Times;serif" w:hAnsi="Times New Roman;Times;serif"/>
          <w:b/>
          <w:sz w:val="20"/>
        </w:rPr>
        <w:t>NOTE 15 — SEGMENT INFORMATION AND REVENUE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Company’s revenue disaggregated by geographic region based on the location of customers for the six months ended June 30, 2025 and 2026:</w:t>
      </w:r>
    </w:p>
    <w:p>
      <w:pPr>
        <w:pStyle w:val="TextBody"/>
        <w:bidi w:val="0"/>
        <w:spacing w:before="0" w:after="0"/>
        <w:ind w:left="0" w:right="0" w:hanging="0"/>
        <w:jc w:val="left"/>
        <w:rPr/>
      </w:pPr>
      <w:r>
        <w:rPr/>
        <w:t>​</w:t>
      </w:r>
    </w:p>
    <w:tbl>
      <w:tblPr>
        <w:tblW w:w="4282" w:type="dxa"/>
        <w:jc w:val="left"/>
        <w:tblInd w:w="0" w:type="dxa"/>
        <w:tblLayout w:type="fixed"/>
        <w:tblCellMar>
          <w:top w:w="0" w:type="dxa"/>
          <w:left w:w="0" w:type="dxa"/>
          <w:bottom w:w="0" w:type="dxa"/>
          <w:right w:w="0" w:type="dxa"/>
        </w:tblCellMar>
      </w:tblPr>
      <w:tblGrid>
        <w:gridCol w:w="1201"/>
        <w:gridCol w:w="346"/>
        <w:gridCol w:w="211"/>
        <w:gridCol w:w="931"/>
        <w:gridCol w:w="346"/>
        <w:gridCol w:w="211"/>
        <w:gridCol w:w="103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62635" cy="175260"/>
                      <wp:effectExtent l="0" t="0" r="0" b="0"/>
                      <wp:wrapNone/>
                      <wp:docPr id="301" name="Frame30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91185" cy="175260"/>
                      <wp:effectExtent l="0" t="0" r="0" b="0"/>
                      <wp:wrapNone/>
                      <wp:docPr id="304" name="Frame3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57860" cy="175260"/>
                      <wp:effectExtent l="0" t="0" r="0" b="0"/>
                      <wp:wrapNone/>
                      <wp:docPr id="307" name="Frame3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6,658,425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3,260,851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1,180,158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3,957,920</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120,911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2,673,855</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22,781</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7,959,494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9,915,407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summary information for the only one reporting segment:</w:t>
      </w:r>
    </w:p>
    <w:p>
      <w:pPr>
        <w:pStyle w:val="TextBody"/>
        <w:bidi w:val="0"/>
        <w:spacing w:before="0" w:after="0"/>
        <w:ind w:left="0" w:right="0" w:hanging="0"/>
        <w:jc w:val="left"/>
        <w:rPr/>
      </w:pPr>
      <w:r>
        <w:rPr/>
        <w:t>​</w:t>
      </w:r>
    </w:p>
    <w:tbl>
      <w:tblPr>
        <w:tblW w:w="6457" w:type="dxa"/>
        <w:jc w:val="left"/>
        <w:tblInd w:w="0" w:type="dxa"/>
        <w:tblLayout w:type="fixed"/>
        <w:tblCellMar>
          <w:top w:w="0" w:type="dxa"/>
          <w:left w:w="0" w:type="dxa"/>
          <w:bottom w:w="0" w:type="dxa"/>
          <w:right w:w="0" w:type="dxa"/>
        </w:tblCellMar>
      </w:tblPr>
      <w:tblGrid>
        <w:gridCol w:w="3091"/>
        <w:gridCol w:w="346"/>
        <w:gridCol w:w="211"/>
        <w:gridCol w:w="1156"/>
        <w:gridCol w:w="346"/>
        <w:gridCol w:w="211"/>
        <w:gridCol w:w="109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962785" cy="175260"/>
                      <wp:effectExtent l="0" t="0" r="0" b="0"/>
                      <wp:wrapNone/>
                      <wp:docPr id="308" name="Frame30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34060" cy="175260"/>
                      <wp:effectExtent l="0" t="0" r="0" b="0"/>
                      <wp:wrapNone/>
                      <wp:docPr id="311" name="Frame31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5960" cy="175260"/>
                      <wp:effectExtent l="0" t="0" r="0" b="0"/>
                      <wp:wrapNone/>
                      <wp:docPr id="314" name="Frame31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7,959,494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9,915,407</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(1,291,612)</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6,535,254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8,623,795</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(2,984,101)</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(8,677,640)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(3,400,975)</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(1,391,913)</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Total operating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(16,985,658)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(7,776,989)</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Income from operations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(10,450,404)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846,806</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Interest expense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(334,689)</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Interest income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23,417</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Subsidy income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Other expenses, net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29,771</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Loss/income before income tax</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(10,799,996)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574,246</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disclosed the type of revenue by type of customers as follows.</w:t>
      </w:r>
    </w:p>
    <w:p>
      <w:pPr>
        <w:pStyle w:val="TextBody"/>
        <w:bidi w:val="0"/>
        <w:spacing w:before="0" w:after="0"/>
        <w:ind w:left="0" w:right="0" w:hanging="0"/>
        <w:jc w:val="left"/>
        <w:rPr/>
      </w:pPr>
      <w:r>
        <w:rPr/>
        <w:t>​</w:t>
      </w:r>
    </w:p>
    <w:tbl>
      <w:tblPr>
        <w:tblW w:w="5017" w:type="dxa"/>
        <w:jc w:val="left"/>
        <w:tblInd w:w="0" w:type="dxa"/>
        <w:tblLayout w:type="fixed"/>
        <w:tblCellMar>
          <w:top w:w="0" w:type="dxa"/>
          <w:left w:w="0" w:type="dxa"/>
          <w:bottom w:w="0" w:type="dxa"/>
          <w:right w:w="0" w:type="dxa"/>
        </w:tblCellMar>
      </w:tblPr>
      <w:tblGrid>
        <w:gridCol w:w="1936"/>
        <w:gridCol w:w="346"/>
        <w:gridCol w:w="211"/>
        <w:gridCol w:w="931"/>
        <w:gridCol w:w="346"/>
        <w:gridCol w:w="211"/>
        <w:gridCol w:w="103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29360" cy="175260"/>
                      <wp:effectExtent l="0" t="0" r="0" b="0"/>
                      <wp:wrapNone/>
                      <wp:docPr id="315" name="Frame315"/>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91185" cy="175260"/>
                      <wp:effectExtent l="0" t="0" r="0" b="0"/>
                      <wp:wrapNone/>
                      <wp:docPr id="318" name="Frame3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57860" cy="175260"/>
                      <wp:effectExtent l="0" t="0" r="0" b="0"/>
                      <wp:wrapNone/>
                      <wp:docPr id="321" name="Frame3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Technology licensees </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4,800,000</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Distributors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5,306,016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4,541,886</w:t>
            </w:r>
          </w:p>
        </w:tc>
      </w:tr>
      <w:tr>
        <w:trPr/>
        <w:tc>
          <w:tcPr>
            <w:tcW w:w="19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Direct customers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573,521</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7,959,494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9,915,407</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direct customers include revenue to hospitals (i.e. directly or through deliverers).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24" w:name="Tc_XPufdofByke9aXtJD4z68g_7_5"/>
      <w:bookmarkStart w:id="1425" w:name="Tc_azcpb3rXl0-J_gPfUQjEkA_7_2"/>
      <w:bookmarkStart w:id="1426" w:name="Tc_bEPtm0sSUUWz7tbAf7GvaQ_7_0"/>
      <w:bookmarkStart w:id="1427" w:name="Tc_p3Bpbt5y60KWUVq77dy5jw_6_0"/>
      <w:bookmarkStart w:id="1428" w:name="Tc_BEGc7Z2IrU6Ug9m34RF5hg_5_0"/>
      <w:bookmarkStart w:id="1429" w:name="Tc_3w8v8P-wF0WLe2nHIOuMrg_4_0"/>
      <w:bookmarkStart w:id="1430" w:name="Tc_y7yQhm4_ZUCfjHr63ktJZQ_3_5"/>
      <w:bookmarkStart w:id="1431" w:name="Tc_tq1-cHthvUqHGA2kVVFoOQ_3_2"/>
      <w:bookmarkStart w:id="1432" w:name="Tc_x8wOO_aCRU--k08BvArJzQ_3_0"/>
      <w:bookmarkStart w:id="1433" w:name="Tc_EobwJcPlEUGXIvYsXxvZ5w_2_5"/>
      <w:bookmarkStart w:id="1434" w:name="Tc_0ji9xGR3akOCpEwecVg2Og_2_2"/>
      <w:bookmarkStart w:id="1435" w:name="Tc_1lb4wkARCEGPfBzMAZ7LmA_1_2"/>
      <w:bookmarkStart w:id="1436" w:name="_93f77647_1d95_49ac_a9fd_6f380ca234bf"/>
      <w:bookmarkStart w:id="1437" w:name="Tc_6OYfG3fc-k63AAlM6bBBnQ_4_5"/>
      <w:bookmarkStart w:id="1438" w:name="Tc_JrWdYwF2f0KlDZSEbo630w_4_2"/>
      <w:bookmarkStart w:id="1439" w:name="Tc_wYcjxZ6ZCUy0OV_tWwzVlw_4_0"/>
      <w:bookmarkStart w:id="1440" w:name="Tc_aXCXyx11W06Vu4wxWeCvWw_3_5"/>
      <w:bookmarkStart w:id="1441" w:name="Tc_MUsv1Vi-Fka_N0Sz96su6g_3_2"/>
      <w:bookmarkStart w:id="1442" w:name="Tc_W-nQ7_h_rkibbls0jOeyEQ_2_2"/>
      <w:bookmarkStart w:id="1443" w:name="Tc_HL6LMP_wv0WiMjcp9UUKoA_1_2"/>
      <w:bookmarkStart w:id="1444" w:name="_e81ae37c_3da8_4315_a881_2c57cb16b04d"/>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r>
        <w:rPr>
          <w:rFonts w:ascii="Times New Roman;Times;serif" w:hAnsi="Times New Roman;Times;serif"/>
          <w:sz w:val="20"/>
        </w:rPr>
        <w:t>Timing of revenue recognition</w:t>
      </w:r>
    </w:p>
    <w:tbl>
      <w:tblPr>
        <w:tblW w:w="4627" w:type="dxa"/>
        <w:jc w:val="left"/>
        <w:tblInd w:w="0" w:type="dxa"/>
        <w:tblLayout w:type="fixed"/>
        <w:tblCellMar>
          <w:top w:w="0" w:type="dxa"/>
          <w:left w:w="0" w:type="dxa"/>
          <w:bottom w:w="0" w:type="dxa"/>
          <w:right w:w="0" w:type="dxa"/>
        </w:tblCellMar>
      </w:tblPr>
      <w:tblGrid>
        <w:gridCol w:w="1546"/>
        <w:gridCol w:w="346"/>
        <w:gridCol w:w="211"/>
        <w:gridCol w:w="931"/>
        <w:gridCol w:w="346"/>
        <w:gridCol w:w="211"/>
        <w:gridCol w:w="103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981710" cy="175260"/>
                      <wp:effectExtent l="0" t="0" r="0" b="0"/>
                      <wp:wrapNone/>
                      <wp:docPr id="322" name="Frame32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1185" cy="175260"/>
                      <wp:effectExtent l="0" t="0" r="0" b="0"/>
                      <wp:wrapNone/>
                      <wp:docPr id="325" name="Frame3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57860" cy="175260"/>
                      <wp:effectExtent l="0" t="0" r="0" b="0"/>
                      <wp:wrapNone/>
                      <wp:docPr id="328" name="Frame3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a point of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7,959,494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9,915,407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the Company has disclosed revenue by major product type as follows:</w:t>
      </w:r>
    </w:p>
    <w:tbl>
      <w:tblPr>
        <w:tblW w:w="5662" w:type="dxa"/>
        <w:jc w:val="left"/>
        <w:tblInd w:w="0" w:type="dxa"/>
        <w:tblLayout w:type="fixed"/>
        <w:tblCellMar>
          <w:top w:w="0" w:type="dxa"/>
          <w:left w:w="0" w:type="dxa"/>
          <w:bottom w:w="0" w:type="dxa"/>
          <w:right w:w="0" w:type="dxa"/>
        </w:tblCellMar>
      </w:tblPr>
      <w:tblGrid>
        <w:gridCol w:w="2581"/>
        <w:gridCol w:w="346"/>
        <w:gridCol w:w="211"/>
        <w:gridCol w:w="931"/>
        <w:gridCol w:w="346"/>
        <w:gridCol w:w="211"/>
        <w:gridCol w:w="103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38935" cy="175260"/>
                      <wp:effectExtent l="0" t="0" r="0" b="0"/>
                      <wp:wrapNone/>
                      <wp:docPr id="329" name="Frame32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91185" cy="175260"/>
                      <wp:effectExtent l="0" t="0" r="0" b="0"/>
                      <wp:wrapNone/>
                      <wp:docPr id="332" name="Frame3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57860" cy="175260"/>
                      <wp:effectExtent l="0" t="0" r="0" b="0"/>
                      <wp:wrapNone/>
                      <wp:docPr id="335" name="Frame3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MWA devices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7,958,761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4,951,037</w:t>
            </w:r>
          </w:p>
        </w:tc>
      </w:tr>
      <w:tr>
        <w:trPr/>
        <w:tc>
          <w:tcPr>
            <w:tcW w:w="258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MWA needles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3,749,741</w:t>
            </w:r>
          </w:p>
        </w:tc>
      </w:tr>
      <w:tr>
        <w:trPr/>
        <w:tc>
          <w:tcPr>
            <w:tcW w:w="258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MWA therapeutic apparatus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1,201,296</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Others (Note*)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4,964,370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7,959,494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9,915,407</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Note*: For the six months ended June 30, 2026, the Company recognized “Others” revenue of $4,964,370, which primarily consisted of $4,800,000 in technology licensing revenue. This technology licensing represents a new business initiative that the Company developed and launched during the period. Under these arrangements, the Company grants exclusive licenses to its proprietary microwave ablation technology to external third-party licensees, with revenue recognized upon delivery and acceptance of the licensed technology.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 CONCENTRATIONS OF RISKS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sales, purchase and expense transactions are generally denominated in RMB and a significant portion of the Company’s liabilities are denominated in RMB. RMB is not freely convertible into foreign currencies.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PRC, foreign exchange transactions are required by law to be transacted only by authorized financial institutions at exchange rates set by the People’s Bank of China. In addition, the Company’s cash and other current assets and liabilities denominated in US$ or HK$ subject the Company to risks associated with changes in the exchange rate of RMB against US$ or HK$ and may affect the Company’s results of operations going forward.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and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credit risk arises from cash and cash equivalents, prepayments and other current assets, and accounts receivable. The carrying amounts of these financial instruments represent the maximum amount due to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expects that there is no significant credit risk associated with the cash and cash equivalents which are held by reputable financial institutions in the jurisdictions where the Company and its subsidiaries are located. The Company believes that it is not exposed to unusual risks as these financial institutions have high credit quality.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no significant concentrations of credit risk with respect to its prepayments.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is typically unsecured and are derived from revenue earned from customers. The risk with respect to accounts receivable is mitigated by credit evaluations performed on them. The Company generally grants trade debtors a credit period of 30 to 180 days, and in very exceptional circumstances, the credit term for some individual customers may be extended up to 365 days. The policy for impairment on accounts receivable is based on the assessment of the recoverability of the accounts receivable. If trade debtors delay payment in part or at all, the Company’s cash flow and working capital may be adversely affected. Also, the Company may incur impairment loss which will adversely affect the financial position and results of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two customers accounted for 28.2% and 25.4% of the Company’s total revenue. For the six months ended June 30, 2025, two customers accounted for 14.8% and 12.3% of the Company’s total revenue. Other than that, no single customer comprises over 10% of revenue as for the six months ended June 30, 2026 and 2025,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from deliverer group, subsidiaries of a listed company which is principally engaged in the distribution of medical devices and pharmaceutical products in the PRC, accounted for 26.0% and 24.0% of the total balance of the Company’s accounts receivable as of December 31, 2025 and June 30, 2026, respectively. Other than that, no single customer comprises over 10% of accounts receivable as of December 31, 2025 and June 30, 2026,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Vendor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six months ended June 30, 2026, two vendors accounted for 34.3% and 26.4% of the Company’s purchase of inventories and equipment. Accounts payable to above vendors was $0.5 million as of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six months ended June 30, 2025, three vendors accounted for 26.6%, 19.4% and 16.7% of the Company’s purchase of inventories and equipment. Accounts payable to above vendors was $0.8 million as of June 30,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two vendors accounted for 32.4% and 11.9% of the total balance of accounts payable.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one vendor accounted for 54.1% of the total balance of accounts payable.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evaluated the impact of events that have occurred subsequent to June 30, 2026, through the date the consolidated financial statements were issued, and concluded that no subsequent events have occurred that would require recognition in the consolidated financial statements or disclosure in the notes to the consolidated financial statements, except as follow: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2026, Baird Medical LLC borrowed a loan, of which the lead lender was a Virginia limited liability company. The principal amount of loan was $525,000. The loan will increase current liabilities and increase interest expenses. This loan is scheduled to be fully repaid by January 26, 2027.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2026, the Company is offering, through the prospectus supplement and the accompanying prospectus filed on September 24, 2026, (i) US$4,347,826 senior 8% original issue discount convertible promissory Note (the “Note”), (ii) ordinary shares, par value US$0.0001 per share, issuable from time to time upon conversion under the Note, and (iii) up to additional 110,070 ordinary shares as additional shares for the issuance of the Note. The Note carry an 8% original issue discount, and have a term of 12 months from the issuance date. No interest accrues during the term of the Note unless an event of default occurs, in which case interest will accrue at a rate of 15% per annum or, if less, the highest amount permitted by law. The Company received approximately US$4 million in financing proceeds on September 28, 2026.The Convertible Note has a term of 12 months from the issuance date and is therefore expected to be settled within one year. Accordingly, the Convertible Note will be classified as a current liability in the Company’s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1445" w:name="Tc_2bTAAe7hckmzHJYEbqgZIg_9_5"/>
      <w:bookmarkStart w:id="1446" w:name="Tc_9dcNSRM-8UGI-igGx8e8lg_9_2"/>
      <w:bookmarkStart w:id="1447" w:name="Tc_WeHqeuaWN02l-NUkjvTYxA_9_0"/>
      <w:bookmarkStart w:id="1448" w:name="Tc_9ex2uz1SJ0aaiOznbZVARA_8_5"/>
      <w:bookmarkStart w:id="1449" w:name="Tc_YtsGOPONokyW1UTo52ayAA_8_2"/>
      <w:bookmarkStart w:id="1450" w:name="Tc_0Viutb5vHEid1dksFeRapw_8_0"/>
      <w:bookmarkStart w:id="1451" w:name="Tc_seTchb9hek-AI8P3zyC0-w_7_0"/>
      <w:bookmarkStart w:id="1452" w:name="Tc_zQdQrQrb8keD_xJrZbdN-Q_6_0"/>
      <w:bookmarkStart w:id="1453" w:name="Tc_atqdQfSA5Ee4D_06nWxAAw_5_6"/>
      <w:bookmarkStart w:id="1454" w:name="Tc_5Tzbsi_GWkOyyk6s4AjtsQ_5_3"/>
      <w:bookmarkStart w:id="1455" w:name="Tc_namVkOMT3EWpr-gfeoVypg_5_0"/>
      <w:bookmarkStart w:id="1456" w:name="Tc_w5AVJL6t00qbsLgL1_aOzg_4_0"/>
      <w:bookmarkStart w:id="1457" w:name="Tc_ur7SJ1EevUWgPzKzQtErig_3_5"/>
      <w:bookmarkStart w:id="1458" w:name="Tc_q1ReNluCxUWMQZHBgBLA4g_3_2"/>
      <w:bookmarkStart w:id="1459" w:name="Tc_EG5eJVnOhE6lb-5FNQVbag_3_0"/>
      <w:bookmarkStart w:id="1460" w:name="Tc_fGzZthj2-EGLzZP1A0NGdA_2_5"/>
      <w:bookmarkStart w:id="1461" w:name="Tc_pC_FYJxliUuTr1COs3ezDw_2_2"/>
      <w:bookmarkStart w:id="1462" w:name="Tc_4C2nGTATZEi28MNBwtB2nw_1_2"/>
      <w:bookmarkStart w:id="1463" w:name="Tc_HD48fm2KHEaJwuUGOz-6wA_14_5"/>
      <w:bookmarkStart w:id="1464" w:name="Tc_XKFFXKz6KUWxKWqfP5Fh1A_14_2"/>
      <w:bookmarkStart w:id="1465" w:name="Tc_rl1cMupZEEeDdPcaSfNimQ_14_0"/>
      <w:bookmarkStart w:id="1466" w:name="Tc_QMYl2So3YkeHXUZ6n8Ij7w_13_0"/>
      <w:bookmarkStart w:id="1467" w:name="Tc_qmk70LmJpkGktagbusnnaw_12_0"/>
      <w:bookmarkStart w:id="1468" w:name="Tc_lRCmvqQczk-uEBfZ8yh-jA_11_0"/>
      <w:bookmarkStart w:id="1469" w:name="Tc_1fl6QfdSlESsxygnuYIKDg_10_0"/>
      <w:bookmarkStart w:id="1470" w:name="Tc_dsoVfBlEBUeJ_IoIOmlFsQ_9_2"/>
      <w:bookmarkStart w:id="1471" w:name="Tc_WfFgJXyC7E62fEM9LyGSrw_9_0"/>
      <w:bookmarkStart w:id="1472" w:name="_17401df5_87bf_4e53_8175_06fe80a35ad0_3"/>
      <w:bookmarkStart w:id="1473" w:name="_17401df5_87bf_4e53_8175_06fe80a35ad0_2"/>
      <w:bookmarkStart w:id="1474" w:name="_17401df5_87bf_4e53_8175_06fe80a35ad0"/>
      <w:bookmarkStart w:id="1475" w:name="Tc_Bak9Rc4K30q5JHCjei5QGg_8_0"/>
      <w:bookmarkStart w:id="1476" w:name="Tc_2S0iUJUSH06bQTQMZx2v3A_7_0"/>
      <w:bookmarkStart w:id="1477" w:name="Tc_a6N7d9XAPkW3Dl0eu30wwA_6_5"/>
      <w:bookmarkStart w:id="1478" w:name="Tc_mdy6g6BMbkGzvEKi4c2YIQ_6_2"/>
      <w:bookmarkStart w:id="1479" w:name="Tc_DHCDlyKpGkW5nsR6pjc1vw_6_0"/>
      <w:bookmarkStart w:id="1480" w:name="Tc_-Vf8V8RZgU6uDAGXuNXmng_5_5"/>
      <w:bookmarkStart w:id="1481" w:name="Tc_nFVznhM-yU2VGn1K8C2fFA_5_2"/>
      <w:bookmarkStart w:id="1482" w:name="Tc_GOj0wvRgaUehghlVp0Zukw_5_0"/>
      <w:bookmarkStart w:id="1483" w:name="Tc_tKMvNLSzYk2lM2so6wfAdw_3_0"/>
      <w:bookmarkStart w:id="1484" w:name="Tc_6GW3aq2u_kuR190YMVN81g_2_5"/>
      <w:bookmarkStart w:id="1485" w:name="Tc_Yj8b06wM7ES8oNuReAp7sQ_2_2"/>
      <w:bookmarkStart w:id="1486" w:name="Tc_X88ZFxsf-Uuk4WQ4EKeAxg_1_2"/>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r>
        <w:rPr>
          <w:rFonts w:ascii="Times New Roman;Times;serif" w:hAnsi="Times New Roman;Times;serif"/>
          <w:b/>
          <w:sz w:val="20"/>
        </w:rPr>
        <w:t>NOTE 18 — PARENT COMPANY ONLY CONDENSED FINANCIAL INFORMATION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requirements of Rule 12-04(a), 5-04(c) and 4-08(e)(3) of Regulation S-X, the condensed financial information of the parent company shall be filed when the restricted net assets of consolidated subsidiaries exceed 25 percent of consolidated net assets as of the end of the most recently completed fiscal year. The Company performed a test on the restricted net assets of consolidated subsidiaries in accordance with such requirement and concluded that it was applicable to the Company as the restricted net assets of the Company’s subsidiaries exceeded 25% of the consolidated net assets of the Company. Therefore, the condensed financial statements for the parent company are included herein.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condensed financial information of the parent company has been prepared using the same accounting policies as set out in the Company’s consolidated financial statements except that the parent company used the equity method to account for investment in its subsidiaries. Such investment is presented on the condensed balance sheets as “Investment in subsidiaries” and the respective profit or loss as “Share of profit/loss of subsidiaries” on the condensed statements of income.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2025 and June 30, 2026, there were no material contingencies, significant provisions for long-term obligations, or guarantees of the Company, except for those which have been separately disclosed in the consolidated financial statements, if any.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60"/>
        <w:gridCol w:w="346"/>
        <w:gridCol w:w="253"/>
        <w:gridCol w:w="1248"/>
        <w:gridCol w:w="346"/>
        <w:gridCol w:w="211"/>
        <w:gridCol w:w="1141"/>
      </w:tblGrid>
      <w:tr>
        <w:trPr/>
        <w:tc>
          <w:tcPr>
            <w:tcW w:w="6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29100" cy="175260"/>
                      <wp:effectExtent l="0" t="0" r="0" b="0"/>
                      <wp:wrapNone/>
                      <wp:docPr id="336" name="Frame336"/>
                      <a:graphic xmlns:a="http://schemas.openxmlformats.org/drawingml/2006/main">
                        <a:graphicData uri="http://schemas.microsoft.com/office/word/2010/wordprocessingShape">
                          <wps:wsp>
                            <wps:cNvSpPr txBox="1"/>
                            <wps:spPr>
                              <a:xfrm>
                                <a:off x="0" y="0"/>
                                <a:ext cx="4229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60655" cy="175260"/>
                      <wp:effectExtent l="0" t="0" r="0" b="0"/>
                      <wp:wrapNone/>
                      <wp:docPr id="338" name="Frame33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92480" cy="175260"/>
                      <wp:effectExtent l="0" t="0" r="0" b="0"/>
                      <wp:wrapNone/>
                      <wp:docPr id="339" name="Frame339"/>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24535" cy="175260"/>
                      <wp:effectExtent l="0" t="0" r="0" b="0"/>
                      <wp:wrapNone/>
                      <wp:docPr id="342" name="Frame34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6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666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660"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r>
      <w:tr>
        <w:trPr/>
        <w:tc>
          <w:tcPr>
            <w:tcW w:w="666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 (Note a)</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31,364,527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34,777,545</w:t>
            </w:r>
          </w:p>
        </w:tc>
      </w:tr>
      <w:tr>
        <w:trPr/>
        <w:tc>
          <w:tcPr>
            <w:tcW w:w="666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34,780,774</w:t>
            </w:r>
          </w:p>
        </w:tc>
      </w:tr>
      <w:tr>
        <w:trPr/>
        <w:tc>
          <w:tcPr>
            <w:tcW w:w="666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124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66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shares, $0.0001 par value; 5,000,000 shares authorized; 290,000 shares issued and outstanding as of December 31, 2025 and June 30, 2026</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66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Ordinary shares, $0.0001 par value; 500,000,000 shares authorized; 40,979,382 shares issued,30,752,370 shares outstanding as of December 31, 2025; 42,208,763 shares issued, 32,002,370 shares outstanding as of June 30, 2026 </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3,200</w:t>
            </w:r>
          </w:p>
        </w:tc>
      </w:tr>
      <w:tr>
        <w:trPr/>
        <w:tc>
          <w:tcPr>
            <w:tcW w:w="666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28,658,524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30,941,899</w:t>
            </w:r>
          </w:p>
        </w:tc>
      </w:tr>
      <w:tr>
        <w:trPr/>
        <w:tc>
          <w:tcPr>
            <w:tcW w:w="666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4,113,302</w:t>
            </w:r>
          </w:p>
        </w:tc>
      </w:tr>
      <w:tr>
        <w:trPr/>
        <w:tc>
          <w:tcPr>
            <w:tcW w:w="666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(1,371,894)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(277,656)</w:t>
            </w:r>
          </w:p>
        </w:tc>
      </w:tr>
      <w:tr>
        <w:trPr/>
        <w:tc>
          <w:tcPr>
            <w:tcW w:w="666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34,780,774</w:t>
            </w:r>
          </w:p>
        </w:tc>
      </w:tr>
      <w:tr>
        <w:trPr/>
        <w:tc>
          <w:tcPr>
            <w:tcW w:w="666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34,780,774</w:t>
            </w:r>
          </w:p>
        </w:tc>
      </w:tr>
    </w:tbl>
    <w:p>
      <w:pPr>
        <w:pStyle w:val="TextBody"/>
        <w:bidi w:val="0"/>
        <w:spacing w:before="0" w:after="240"/>
        <w:ind w:left="0" w:right="0" w:firstLine="36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Condensed statements of comprehensive income</w:t>
      </w:r>
    </w:p>
    <w:p>
      <w:pPr>
        <w:pStyle w:val="TextBody"/>
        <w:bidi w:val="0"/>
        <w:spacing w:before="0" w:after="0"/>
        <w:ind w:left="0" w:right="0" w:hanging="0"/>
        <w:jc w:val="left"/>
        <w:rPr/>
      </w:pPr>
      <w:r>
        <w:rPr/>
        <w:t>​</w:t>
      </w:r>
    </w:p>
    <w:tbl>
      <w:tblPr>
        <w:tblW w:w="7327" w:type="dxa"/>
        <w:jc w:val="left"/>
        <w:tblInd w:w="0" w:type="dxa"/>
        <w:tblLayout w:type="fixed"/>
        <w:tblCellMar>
          <w:top w:w="0" w:type="dxa"/>
          <w:left w:w="0" w:type="dxa"/>
          <w:bottom w:w="0" w:type="dxa"/>
          <w:right w:w="0" w:type="dxa"/>
        </w:tblCellMar>
      </w:tblPr>
      <w:tblGrid>
        <w:gridCol w:w="4021"/>
        <w:gridCol w:w="346"/>
        <w:gridCol w:w="211"/>
        <w:gridCol w:w="1156"/>
        <w:gridCol w:w="346"/>
        <w:gridCol w:w="211"/>
        <w:gridCol w:w="103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553335" cy="175260"/>
                      <wp:effectExtent l="0" t="0" r="0" b="0"/>
                      <wp:wrapNone/>
                      <wp:docPr id="343" name="Frame343"/>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34060" cy="175260"/>
                      <wp:effectExtent l="0" t="0" r="0" b="0"/>
                      <wp:wrapNone/>
                      <wp:docPr id="346" name="Frame34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57860" cy="175260"/>
                      <wp:effectExtent l="0" t="0" r="0" b="0"/>
                      <wp:wrapNone/>
                      <wp:docPr id="349" name="Frame3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(loss)/profit in subsidiaries, net (Note 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(11,293,895)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(Loss)/income before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(11,293,895)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(11,293,895)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1,094,238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(10,399,956)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1,129,643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1487" w:name="_bbf111fd_0b0b_4cc3_8833_dfea3c347696"/>
      <w:bookmarkStart w:id="1488" w:name="Tc_QG6osdXHZUKEL_Aa4i0fxg_9_6"/>
      <w:bookmarkStart w:id="1489" w:name="Tc_lM5p15Iz5UqIRgtZWJ0Dpg_9_5"/>
      <w:bookmarkStart w:id="1490" w:name="Tc_MFZRklc_F0GLhz6vOGZopw_9_3"/>
      <w:bookmarkStart w:id="1491" w:name="Tc_KFheF2LvOUKXrMIIIN-aaA_9_2"/>
      <w:bookmarkStart w:id="1492" w:name="Tc_sSg3JCTyc0-53Oy53teIyg_9_0"/>
      <w:bookmarkStart w:id="1493" w:name="Tc_LuMZ9YUg9kqKoUloZlMutA_8_6"/>
      <w:bookmarkStart w:id="1494" w:name="Tc_u4OXP1955U-a-_lKpin_jw_8_3"/>
      <w:bookmarkStart w:id="1495" w:name="Tc_HCl8SUfFH0q1JBVuBF9MlA_8_2"/>
      <w:bookmarkStart w:id="1496" w:name="Tc_j07HIuueo0aSKRVeXaNpeg_8_0"/>
      <w:bookmarkStart w:id="1497" w:name="Tc_BF_k8NTx1UC7_5850pidVQ_7_6"/>
      <w:bookmarkStart w:id="1498" w:name="Tc_V0eHCsD2QkCqS6VIR7rWDA_7_3"/>
      <w:bookmarkStart w:id="1499" w:name="Tc_HPCc9IYoMUOyD-GImMg1Sw_7_0"/>
      <w:bookmarkStart w:id="1500" w:name="Tc_HlWgqUZLKkiF3LkLT7_16Q_6_0"/>
      <w:bookmarkStart w:id="1501" w:name="Tc_BdJgyXIUvUaqkwFvOC5rKQ_5_0"/>
      <w:bookmarkStart w:id="1502" w:name="Tc_ArgOb7lcBEi6avR4VP4mxQ_4_5"/>
      <w:bookmarkStart w:id="1503" w:name="Tc_TbeQ0EiWUUqbgfbPfdjVEA_4_2"/>
      <w:bookmarkStart w:id="1504" w:name="Tc_y_znjVPH3UyvwtcGOuHRYw_4_0"/>
      <w:bookmarkStart w:id="1505" w:name="Tc_wBu8hOJS4UiiUoW6HoGBFQ_3_0"/>
      <w:bookmarkStart w:id="1506" w:name="Tc_t9AJ1y1th065NcZ_SOrswA_2_5"/>
      <w:bookmarkStart w:id="1507" w:name="Tc_9h5b-Br070yyEeglm6x7xA_2_2"/>
      <w:bookmarkStart w:id="1508" w:name="Tc_MqEetz3v5kqV0lSdjeUQqg_1_2"/>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0"/>
        <w:ind w:left="0" w:right="0" w:hanging="0"/>
        <w:jc w:val="left"/>
        <w:rPr/>
      </w:pPr>
      <w:r>
        <w:rPr/>
        <w:t>​</w:t>
      </w:r>
    </w:p>
    <w:tbl>
      <w:tblPr>
        <w:tblW w:w="9832" w:type="dxa"/>
        <w:jc w:val="left"/>
        <w:tblInd w:w="0" w:type="dxa"/>
        <w:tblLayout w:type="fixed"/>
        <w:tblCellMar>
          <w:top w:w="0" w:type="dxa"/>
          <w:left w:w="0" w:type="dxa"/>
          <w:bottom w:w="0" w:type="dxa"/>
          <w:right w:w="0" w:type="dxa"/>
        </w:tblCellMar>
      </w:tblPr>
      <w:tblGrid>
        <w:gridCol w:w="6721"/>
        <w:gridCol w:w="346"/>
        <w:gridCol w:w="211"/>
        <w:gridCol w:w="1156"/>
        <w:gridCol w:w="346"/>
        <w:gridCol w:w="211"/>
        <w:gridCol w:w="84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67835" cy="175260"/>
                      <wp:effectExtent l="0" t="0" r="0" b="0"/>
                      <wp:wrapNone/>
                      <wp:docPr id="350" name="Frame350"/>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734060" cy="175260"/>
                      <wp:effectExtent l="0" t="0" r="0" b="0"/>
                      <wp:wrapNone/>
                      <wp:docPr id="353" name="Frame35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34035" cy="175260"/>
                      <wp:effectExtent l="0" t="0" r="0" b="0"/>
                      <wp:wrapNone/>
                      <wp:docPr id="356" name="Frame35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6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(11,293,895)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35,405</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income/(loss) in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11,293,895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(35,405)</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beginning of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2286" w:type="dxa"/>
        <w:jc w:val="left"/>
        <w:tblInd w:w="0" w:type="dxa"/>
        <w:tblLayout w:type="fixed"/>
        <w:tblCellMar>
          <w:top w:w="28" w:type="dxa"/>
          <w:left w:w="28" w:type="dxa"/>
          <w:bottom w:w="28" w:type="dxa"/>
          <w:right w:w="28" w:type="dxa"/>
        </w:tblCellMar>
      </w:tblPr>
      <w:tblGrid>
        <w:gridCol w:w="124"/>
        <w:gridCol w:w="31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parent company only financial statements, the Company’s investment in subsidiaries is stated at cost plus equity in undistributed earnings of subsidiaries since inception.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financial statements prepared in accordance with U.S. GAAP have been omitted and as such, these parent company only financial statements should be read in conjunction with the Company’s consolidated financial statements</w:t>
      </w:r>
      <w:r>
        <w:rPr>
          <w:rFonts w:ascii="Times New Roman;Times;serif" w:hAnsi="Times New Roman;Times;serif"/>
          <w:i/>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40"/>
        <w:ind w:left="0" w:right="0" w:hanging="0"/>
        <w:jc w:val="right"/>
        <w:rPr>
          <w:rFonts w:ascii="Times New Roman;Times;serif" w:hAnsi="Times New Roman;Times;serif"/>
          <w:b/>
          <w:color w:val="231F20"/>
          <w:sz w:val="20"/>
        </w:rPr>
      </w:pPr>
      <w:bookmarkStart w:id="1509" w:name="bdmd-ex99d2.htm"/>
      <w:bookmarkStart w:id="1510" w:name="ksbdmdex99d2"/>
      <w:bookmarkEnd w:id="1509"/>
      <w:bookmarkEnd w:id="1510"/>
      <w:r>
        <w:rPr>
          <w:rFonts w:ascii="Times New Roman;Times;serif" w:hAnsi="Times New Roman;Times;serif"/>
          <w:b/>
          <w:color w:val="231F20"/>
          <w:sz w:val="20"/>
        </w:rPr>
        <w:t>Exhibit 99.2</w:t>
      </w:r>
      <w:r>
        <w:br w:type="page"/>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color w:val="231F20"/>
          <w:sz w:val="20"/>
        </w:rPr>
        <w:t>Unless the context otherwise requires, all references in this section to “we,” “us,” or “our” and other similar terms refer collectively to Baird Medical Investment Holdings Limited, and its subsidiaries. You should read the following discussion and analysis of our results of operations and financial condition together with the unaudited condensed consolidated financial statements and related notes included elsewhere in this current report on Form 6-K. See “Exhibit 99.1—Unaudited Interim Condensed Consolidated Financial Statements as of December 31, 2025</w:t>
      </w:r>
      <w:r>
        <w:rPr>
          <w:rFonts w:ascii="Times New Roman;Times;serif" w:hAnsi="Times New Roman;Times;serif"/>
          <w:color w:val="231F20"/>
          <w:sz w:val="20"/>
        </w:rPr>
        <w:t xml:space="preserve"> </w:t>
      </w:r>
      <w:r>
        <w:rPr>
          <w:rFonts w:ascii="Times New Roman;Times;serif" w:hAnsi="Times New Roman;Times;serif"/>
          <w:i/>
          <w:color w:val="231F20"/>
          <w:sz w:val="20"/>
        </w:rPr>
        <w:t>and June 30, 2026, and the for the Six Months Ended June 30, 2025</w:t>
      </w:r>
      <w:r>
        <w:rPr>
          <w:rFonts w:ascii="Times New Roman;Times;serif" w:hAnsi="Times New Roman;Times;serif"/>
          <w:color w:val="231F20"/>
          <w:sz w:val="20"/>
        </w:rPr>
        <w:t xml:space="preserve"> </w:t>
      </w:r>
      <w:r>
        <w:rPr>
          <w:rFonts w:ascii="Times New Roman;Times;serif" w:hAnsi="Times New Roman;Times;serif"/>
          <w:i/>
          <w:color w:val="231F20"/>
          <w:sz w:val="20"/>
        </w:rPr>
        <w:t>and 2026.”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we describe under “Risk Factors” of our annual report on Form 20-F for the year ended December 31, 2025</w:t>
      </w:r>
      <w:r>
        <w:rPr>
          <w:rFonts w:ascii="Times New Roman;Times;serif" w:hAnsi="Times New Roman;Times;serif"/>
          <w:color w:val="231F20"/>
          <w:sz w:val="20"/>
        </w:rPr>
        <w:t xml:space="preserve"> </w:t>
      </w:r>
      <w:r>
        <w:rPr>
          <w:rFonts w:ascii="Times New Roman;Times;serif" w:hAnsi="Times New Roman;Times;serif"/>
          <w:i/>
          <w:color w:val="231F20"/>
          <w:sz w:val="20"/>
        </w:rPr>
        <w:t>(the “Annual Report”) filed with the U.S. Securities and Exchange Commission (the “SEC”) on April 24, 2025,</w:t>
      </w:r>
      <w:r>
        <w:rPr>
          <w:rFonts w:ascii="Times New Roman;Times;serif" w:hAnsi="Times New Roman;Times;serif"/>
          <w:color w:val="231F20"/>
          <w:sz w:val="20"/>
        </w:rPr>
        <w:t xml:space="preserve"> </w:t>
      </w:r>
      <w:r>
        <w:rPr>
          <w:rFonts w:ascii="Times New Roman;Times;serif" w:hAnsi="Times New Roman;Times;serif"/>
          <w:i/>
          <w:color w:val="231F20"/>
          <w:sz w:val="20"/>
        </w:rPr>
        <w:t>as amended by Amendment No. 1 on Form 20-F/A filed with the SEC on July 27, 2026.</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Overview</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z w:val="20"/>
        </w:rPr>
        <w:t xml:space="preserve">Our product offerings and pipeline products mainly consist of microwave ablation apparatus and needles. </w:t>
      </w:r>
      <w:r>
        <w:rPr>
          <w:rFonts w:ascii="Times New Roman;Times;serif" w:hAnsi="Times New Roman;Times;serif"/>
          <w:sz w:val="20"/>
        </w:rPr>
        <w:t xml:space="preserve">Our products are ultimately sold to hospitals through (i) direct sales, (ii) deliverers, or (iii) distributors. Benefiting from our distributors’ established channels and resources, we have been able to cut costs and time in reaching target markets compared to the costs and time required to distribute those products through direct sales. </w:t>
      </w:r>
      <w:r>
        <w:rPr>
          <w:rFonts w:ascii="Times New Roman;Times;serif" w:hAnsi="Times New Roman;Times;serif"/>
          <w:color w:val="231F20"/>
          <w:sz w:val="20"/>
        </w:rPr>
        <w:t xml:space="preserve">Our product offerings available for sale include microwave ablation apparatus approved for the treatment of live cancer and thyroid nodule, long microwave ablation needles, and fine microwave ablation needles. There are two Class III registration certificates under our company’s name: microwave therapeutic instrument and accessories (which is valid until February 5, 2028) and disposable microwave ablation needle (which is valid until July 12, 2028). We have also successfully obtained the registration certificate for the Class III Certificate for MWA Needles, and one registration certificate </w:t>
      </w:r>
      <w:bookmarkStart w:id="1511" w:name="OLE_LINK1"/>
      <w:bookmarkEnd w:id="1511"/>
      <w:r>
        <w:rPr>
          <w:rFonts w:ascii="Times New Roman;Times;serif" w:hAnsi="Times New Roman;Times;serif"/>
          <w:color w:val="231F20"/>
          <w:sz w:val="20"/>
        </w:rPr>
        <w:t>for Class II medical devices in the PRC in relation to disposable sterile biopsy needles. Under PRC laws and regulations, Class II medical devices are those with moderate risks and are strictly controlled and administered, and Class III medical devices are those with relatively high risks and are strictly controlled and administered through special measures. Our products are ultimately sold to hospitals through direct sales, deliverers, or distributors.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first half of fiscal year 2026, we successfully launched a new strategic business initiative: the out-licensing of our proprietary microwave ablation technology to qualified third-party licensees. We lawfully own and maintain full intellectual property rights in our microwave ablation equipment and microwave ablation needles, including patents, technical know-how, product technical requirements, design documentation, software source code, and complete regulatory registration dossiers. These assets, which have received NMPA Class III medical device certification in the PRC, represent a mature and clinically validated technology platform with demonstrated safety and efficacy in the minimally invasive treatment of tumors, including thyroid nodules, liver cancer, lung cancer, and breast lumps. Under the agreements with customers, we grant each licensee an exclusive right to use the licensed technology in specified territories outside the PRC (including Europe, Brazil, the UK, or other defined regions), in exchange for consideration of licensing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Results of Operations</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Our net revenues were $9.9 million and $8.0 million in the six months ended June 30, 2026 and 2025, respectively. Our net income was $0.01 million and our net loss was $11.4 million in the six months ended June 30, 2026 and 2025, respectively. We recorded adjusted EBITDA of positive $4.0 million and negative $3.3 million in the six months ended June 30, 2026 and 2025, respectively. For a detailed description of our non-GAAP measures, see “—Non-GAAP Financial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The following table sets forth a summary of our unaudited interim condensed consolidated statements of operations, both in absolute amount, for the periods indicated. This information has been derived from and should be read together with our unaudited interim condensed consolidating financial statements. The results of operations in any period are not necessarily indicative of the results that may be expected for any future period.</w:t>
      </w:r>
    </w:p>
    <w:tbl>
      <w:tblPr>
        <w:tblW w:w="6457" w:type="dxa"/>
        <w:jc w:val="center"/>
        <w:tblInd w:w="0" w:type="dxa"/>
        <w:tblLayout w:type="fixed"/>
        <w:tblCellMar>
          <w:top w:w="0" w:type="dxa"/>
          <w:left w:w="0" w:type="dxa"/>
          <w:bottom w:w="0" w:type="dxa"/>
          <w:right w:w="0" w:type="dxa"/>
        </w:tblCellMar>
      </w:tblPr>
      <w:tblGrid>
        <w:gridCol w:w="3091"/>
        <w:gridCol w:w="346"/>
        <w:gridCol w:w="211"/>
        <w:gridCol w:w="1051"/>
        <w:gridCol w:w="346"/>
        <w:gridCol w:w="211"/>
        <w:gridCol w:w="1201"/>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67385" cy="175260"/>
                      <wp:effectExtent l="0" t="0" r="0" b="0"/>
                      <wp:wrapNone/>
                      <wp:docPr id="359" name="Frame3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762635" cy="175260"/>
                      <wp:effectExtent l="0" t="0" r="0" b="0"/>
                      <wp:wrapNone/>
                      <wp:docPr id="362" name="Frame36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7,959,494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(1,291,612)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(1,424,240)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8,623,795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6,535,254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(2,984,101)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(1,127,725)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(3,400,975)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(8,677,640)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(1,391,913)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(7,180,293)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(7,776,989)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(16,985,658)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(10,450,404)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(358,215)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574,246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(10,799,996)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(559,131)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(11,359,127)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measure: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3,953,077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(3,323,830)</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w:t>
            </w:r>
          </w:p>
        </w:tc>
        <w:tc>
          <w:tcPr>
            <w:tcW w:w="996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For further information on the non-GAAP financial measures presented above, see the “Non-GAAP Financial Measures” section below.</w:t>
            </w:r>
          </w:p>
        </w:tc>
      </w:tr>
    </w:tbl>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prepare and analyze operating and financial data and non-GAAP measures to assess the performance of our business, make strategic and offering decisions and build its financial projections. The key non-GAAP measures we use are EBITDA and Adjusted EBITDA. EBITDA is defined as net income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provides meaningful supplemental information for investors when evaluating our results and comparing us to peer companies as stock-based compensation expense represents a significant non-cash charge. We use these non-GAAP financial measures in order to have comparable financial results to analyze changes in our underlying business.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set forth a reconciliation of our adjusted EBITDA to net income/loss for the periods indicated.</w:t>
      </w:r>
    </w:p>
    <w:tbl>
      <w:tblPr>
        <w:tblW w:w="6157" w:type="dxa"/>
        <w:jc w:val="center"/>
        <w:tblInd w:w="0" w:type="dxa"/>
        <w:tblLayout w:type="fixed"/>
        <w:tblCellMar>
          <w:top w:w="0" w:type="dxa"/>
          <w:left w:w="0" w:type="dxa"/>
          <w:bottom w:w="0" w:type="dxa"/>
          <w:right w:w="0" w:type="dxa"/>
        </w:tblCellMar>
      </w:tblPr>
      <w:tblGrid>
        <w:gridCol w:w="2911"/>
        <w:gridCol w:w="346"/>
        <w:gridCol w:w="211"/>
        <w:gridCol w:w="931"/>
        <w:gridCol w:w="346"/>
        <w:gridCol w:w="211"/>
        <w:gridCol w:w="1201"/>
      </w:tblGrid>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91185" cy="175260"/>
                      <wp:effectExtent l="0" t="0" r="0" b="0"/>
                      <wp:wrapNone/>
                      <wp:docPr id="365" name="Frame3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62635" cy="175260"/>
                      <wp:effectExtent l="0" t="0" r="0" b="0"/>
                      <wp:wrapNone/>
                      <wp:docPr id="368" name="Frame36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(11,359,127)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789,932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Interest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357,453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559,131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1,568,077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(9,652,611)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6,328,781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3,953,077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(3,323,830)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Revenues.</w:t>
      </w:r>
      <w:r>
        <w:rPr>
          <w:rFonts w:ascii="Times New Roman;Times;serif" w:hAnsi="Times New Roman;Times;serif"/>
          <w:sz w:val="20"/>
        </w:rPr>
        <w:t xml:space="preserve"> Our revenues increased by 24.6% from $8.0 million in the six months ended June 30, 2025 to $9.9 million in the six months ended June 30, 2026. The increase in revenue was primarily attributable to growth outside of the People’s Republic of China, including in the United States, as well as licensing revenue generated from our new strategic business initiative in the first half of 2026. Specifically, the revenue growth of US$1.9 million in the first half of 2026 was primarily due to newly added technology licensing revenue of US$4.8 million, partially offset by a US$3.0 million decrease in sales of MWA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of sales of MWA devices from distributors decreased from US$5.3 million in the first half of 2025 to US$4.5 million in the first half of 2026, resulting in a net decrease of US$0.8 million. Changes in overall average sales prices decreased revenue by approximately US$0.6 million, while changes in the volume of products sold decreased revenue by approximately US$0.2 million. With respect to the sales of MWA needles, revenue decreased due to a decrease in the number of units sold. With respect to the sales of MWA therapeutic apparatus, the decrease in revenue was primarily due to the decrease in average sales prices, which was partially offset by an increase in sales volume, resulting in an overall decrease in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sales of MWA devices from direct customers decreased from US$2.7 million in the first half of 2025 to US$0.5 million in the first half of 2026, resulting in a net decrease of US$2.2 million. Changes in overall average sales prices decreased revenue by approximately US$0.3 million, while changes in the volume of products sold decreased revenue by approximately US$1.9 million. With respect to the sales of MWA needles, revenue decreased due to decreases in both the number of units sold and the selling price. With respect to the sales of MWA therapeutic apparatus, revenue decreased due to decreases in both the number of units sold and the selling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Cost of revenues.</w:t>
      </w:r>
      <w:r>
        <w:rPr>
          <w:rFonts w:ascii="Times New Roman;Times;serif" w:hAnsi="Times New Roman;Times;serif"/>
          <w:sz w:val="20"/>
        </w:rPr>
        <w:t xml:space="preserve"> Our cost of revenues mainly consisted of (i) costs of other medical devices; (ii) direct material costs for our proprietary MWA medical devices; (iii) direct staff costs; (iv) production overheads; and (v) distribution costs. Our cost of revenues decreased by 9.3% from $1.4 million in the six months ended June 30, 2025 to $1.3 million in the six months ended June 30, 2026. The decrease in cost of revenue was primarily attributable to the decrease of direct material costs for our proprietary MWA medical devices, the decrease of direct staff costs, and the decrease of distribution costs, in each case resulting from the decrease in medical devices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xml:space="preserve"> Our selling and marketing expenses increased by US$1.9 million from US$1.1 million in the six months ended June 30, 2025 to US$3.0 million in the six months ended June 30, 2026, primarily due to (i) an increase in share-based compensation expenses from nil in the six months ended June 30, 2025 to US$1.9 million in the six months ended June 30, 2026, (ii) an increase in staff cost of US$0.3 million, from US$0.7 million in the six months ended June 30, 2025 to US$1.0 million in the six months ended June 30, 2026, due to an increase in sales personnel costs for the U.S. market, partially offset by (iii) an decrease in advertising expenses of US$0.2 million. Accordingly, our selling and marketing expenses accounted for 30.1% and 14.2% of our revenues in the six months ended 2026 and 2025,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expenses primarily consisted of salary and compensation expenses relating to our finance, legal, human resources and executive office personnel, rental expenses, depreciation and amortization expenses, office overhead, share-based compensation expenses, professional service fees and travel and transportation costs. General and administrative expenses decreased significantly from $8.7 million in the six months ended June 30, 2025 to $3.4 million in the six months ended June 30, 2026, primarily due to the decrease of share-based compensation from $6.3 million in the six months ended June 30, 2025 to US$0.5 million in the six months ended June 30, 2026.</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Research and development expenses primarily consisted of CRO (Contract Research Organization) and other research and development service fee and depreciation expense related to equipment used for research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development, compensation and benefit expenses relating to our research and development personnel, as well as office overhead and other expenses relating to our R&amp;D activities. Our research and development expenses decreased from $7.2 million in the six months ended June 30, 2025 to $1.4 million in the six months ended June 30, 2026, primarily due to decreased FDA certification fees, CE Marking fee, Endoscopic Ultrasound System and R&amp;D expenditures on AI ablation systems and equipment. The decrease in research and development expenses in the first half of 2026 compared to the same period in 2025 is primarily attributable to the timing and nature of research and development project milestones, rather than a reduction in the Company’s commitment to innovation or a fundamental slowdown in research and development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Net income/loss. </w:t>
      </w:r>
      <w:r>
        <w:rPr>
          <w:rFonts w:ascii="Times New Roman;Times;serif" w:hAnsi="Times New Roman;Times;serif"/>
          <w:sz w:val="20"/>
        </w:rPr>
        <w:t>As a result of the foregoing, we generated a net income of $13,499 in the six months ended June 30, 2026, as compared to a net loss of $11.4 million in the six months ended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historically funded our working capital needs primarily from operations and bank borrowings. Our working capital requirements are affected by the efficiency of our operations, the numerical volume and dollar value of our sales contracts, the progress or execution on our customer contracts, and the timing of accounts receivable collection.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six months ended June 30, 2026, our principal source of liquidity was cash generated from operating activities and short-term borrowings from banks. In the six months ended June 30, 2025, our principal source of liquidity was cash generated from financing activities and short-term borrowings from banks as well as long-term loans.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Going Concern Assessment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we had cash of US$0.1 million and restricted cash of US$0.2 million. We had positive working capital as of both December 31, 2025 and June 30, 2026. Working capital was US$22.6 million and US$10.2 million as of December 31, 2025 and June 30, 2026,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recorded a net income of US$13,499 for the six months ended June 30, 2026, a significant turnaround from the substantial net loss recorded in the same period of 2025.We recorded a net loss of US$11.4 million for the six months ended June 30, 2025, including net loss attributable to controlling shareholders of US$11.3 million.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cash used in operating activities were US$3.0 million and net cash generated from operating activities of US$2.5 million for the six months ended June 30,2025 and 2026,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have relied principally on both operational sources of cash and non-operational sources of financing from banks or investors to fund our operations and business development. Our ability to continue as a going concern is dependent on management’s ability to successfully execute its business plan which includes reducing the fixed labor cost, pursuing cooperation opportunities and potential financing to improve our cash flow from operations and financing. To alleviate short-term liquidity pressure and demonstrate commitment to our financial stability, Betters Medical Investment Holdings Limited, the related party of the Company, together with Haimei Wu, the Chairwoman of the Board of Directors and Chief Executive Officer of us, provided us with an executed letter of continuing financial support. Haimei Wu is able to provide financial support of US$2.0 million, supported by properties owned by Ms. Wu, as necessary to enable us to meet its obligations as they become due for a period of at least twelve months from the date the financial statements are issued. Betters Medical Investment Holdings Limited confirmed that payables due to it will not be required to be repaid within the next twelve months from the date the financial statements are issued.We considered this financial support and non-demand confirmation in assessing our liquidity and its ability to meet obligations as they become due.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2026, the Company is offering, through the prospectus supplement and the accompanying prospectus filed on September 24, 2026, (i) US$4,347,826 senior 8% original issue discount convertible promissory Note (the “Note”), (ii) ordinary shares, par value US$0.0001 per share, issuable from time to time upon conversion under the Note, and (iii) up to additional 110,070 ordinary shares as additional shares for the issuance of the Note. The Note carry an 8% original issue discount, and have a term of 12 months from the issuance date. No interest accrues during the term of the Note unless an event of default occurs, in which case interest will accrue at a rate of 15% per annum or, if less, the highest amount permitted by law. The Company received approximately US$4 million in financing proceeds on September 8,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factors including our cash and restricted cash position, positive working capital, the nature of the Company recorded a net income for the six months ended June 30, 2026, a significant turnaround from the substantial net loss recorded in the same period of 2025, improvement in operating cash outflows, historical debt renewals and refinancing activities, continuing financial support from Haimei Wu, the non-demand confirmation from Betters Medical Investment Holdings Limited, and expected profitability drivers, management concluded that there was no substantial doubt about the our ability to continue as a going concern within one year after the issuance date of the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will have sufficient working capital to operate our business for the next 12 months from the date of this current report. However, we may require additional funding due to changing business conditions or other future developments, including any investments or potential acquisitions we may pursue. If our existing cash resources are insufficient to meet our working capital requirements, we may seek to issue equity or equity-linked securities or debt securities or obtain financing from banks and other third parties. The sale of equity or equity-linked securities would result in additional dilution to our shareholders, while the incurrence of indebtedness could subject us to operating and financial covenants that restrict our operations and ability to pay dividends to our shareholders. There is no assurance that we will be successful in raising funds, obtaining sufficient funding on terms acceptable to us, or if at all, which could have a material adverse effect on our business, financial condition and results of operations. See “Item 3. Key Information— D. Risk Factors — Risks Related to Our Securities — The issuance of additional share capital in connection with financings, acquisitions, investments, our equity incentive plans or otherwise will dilute all other shareholders” of the Annual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tbl>
      <w:tblPr>
        <w:tblW w:w="7792" w:type="dxa"/>
        <w:jc w:val="center"/>
        <w:tblInd w:w="0" w:type="dxa"/>
        <w:tblLayout w:type="fixed"/>
        <w:tblCellMar>
          <w:top w:w="0" w:type="dxa"/>
          <w:left w:w="0" w:type="dxa"/>
          <w:bottom w:w="0" w:type="dxa"/>
          <w:right w:w="0" w:type="dxa"/>
        </w:tblCellMar>
      </w:tblPr>
      <w:tblGrid>
        <w:gridCol w:w="4531"/>
        <w:gridCol w:w="346"/>
        <w:gridCol w:w="211"/>
        <w:gridCol w:w="1051"/>
        <w:gridCol w:w="346"/>
        <w:gridCol w:w="211"/>
        <w:gridCol w:w="1096"/>
      </w:tblGrid>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67385" cy="175260"/>
                      <wp:effectExtent l="0" t="0" r="0" b="0"/>
                      <wp:wrapNone/>
                      <wp:docPr id="371" name="Frame37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6595" cy="175260"/>
                      <wp:effectExtent l="0" t="0" r="0" b="0"/>
                      <wp:wrapNone/>
                      <wp:docPr id="374" name="Frame374"/>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(3,034,877)</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(44,610)</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2,036,285</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244,495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(798,707)</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the beginning of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2,970,199</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end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2,171,492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from operating activities for the six months ended June 30, 2026 was $2.5 million, primarily due to a net income of $13,499, as adjusted primarily by share-based compensation expense of $2.4 million, allowance for credit losses of $0.9 million, depreciation and amortization of $0.7 million, increase in contract liabilities of $1.6 million, increase in taxes payable of $0.3 million, increase in accrued expenses and other payable of $0.9 million, partially offset by increase in accounts receivable of $1.4 million, increase in prepayments of $2.2 million, and decrease in accounts payable of $0.5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2025 was $3.0 million, primarily due to a net loss of $11.4 million, as adjusted primarily by share-based compensation expense of $6.3million, decrease in accounts receivable of $6.6 million, depreciation and amortization of $0.8 million, increase in accounts payable of $0.8 million, increase in contract liabilities of $0.3 million, partially offset by increase in prepayments of $5.6 million, decrease in taxes payable of $0.5 million, decrease in lease liabilities of $0.2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Net cash used in investing activities for the six months ended June 30, 2026 was nil.</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Net cash used in investing activities for the six months ended June 30, 2025 was $0.04 million, primarily due to purchase of property, plant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Net cash used in financing activities for the six months ended June 30, 2026 was $2.9 million, primarily due to that we had drawn down of short-term bank loans of $7.7 million and repayments of short-term bank loans of $7.7million. And we had proceeds of Interest-free advances for operation from a related party of $0.2 million during the six months ended June 30, 2026, and repayment of Interest-free advances for operation to a related party of $1.7 million during the six months ended June 30, 2026.In addition, we had repayment of long-term loan of $1.4 million during the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Net cash generated from financing activities for the six months ended June 30, 2025 was $2.0 million, primarily due to that we had drawn down of short-term bank loans of $9.6 million and repayments of short-term bank loans of $12.1million. And we had proceeds of Interest-free advances for operation from a related party of $0.7 million during the six months ended June 30, 2025, and repayment of Interest-free advances for operation to a related party of $0.1 million during the six months ended June 30, 2025. In addition, we had proceeds from long-term loan of $5.0 million and repayment of long-term loan of $1.0 million during the six months ended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We incur capital expenditures primarily for purchases of property and equipment. Our capital expenditures were nil and $0.04 million in the six months ended June 30, 2026 and 2025, respectively. We will continue to incur capital expenditures to support the growth of our business. We intend to fund our future capital expenditure through our existing cash balance, bank borrowings and other financing alternatives.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The following table sets forth our contractual obligations and commercial commitments as of June 30, 2026:</w:t>
      </w:r>
    </w:p>
    <w:tbl>
      <w:tblPr>
        <w:tblW w:w="6685" w:type="dxa"/>
        <w:jc w:val="center"/>
        <w:tblInd w:w="0" w:type="dxa"/>
        <w:tblLayout w:type="fixed"/>
        <w:tblCellMar>
          <w:top w:w="0" w:type="dxa"/>
          <w:left w:w="0" w:type="dxa"/>
          <w:bottom w:w="0" w:type="dxa"/>
          <w:right w:w="0" w:type="dxa"/>
        </w:tblCellMar>
      </w:tblPr>
      <w:tblGrid>
        <w:gridCol w:w="1906"/>
        <w:gridCol w:w="346"/>
        <w:gridCol w:w="211"/>
        <w:gridCol w:w="1036"/>
        <w:gridCol w:w="346"/>
        <w:gridCol w:w="211"/>
        <w:gridCol w:w="1036"/>
        <w:gridCol w:w="346"/>
        <w:gridCol w:w="211"/>
        <w:gridCol w:w="103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210310" cy="175260"/>
                      <wp:effectExtent l="0" t="0" r="0" b="0"/>
                      <wp:wrapNone/>
                      <wp:docPr id="375" name="Frame375"/>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57860" cy="175260"/>
                      <wp:effectExtent l="0" t="0" r="0" b="0"/>
                      <wp:wrapNone/>
                      <wp:docPr id="378" name="Frame3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57860" cy="175260"/>
                      <wp:effectExtent l="0" t="0" r="0" b="0"/>
                      <wp:wrapNone/>
                      <wp:docPr id="381" name="Frame3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57860" cy="175260"/>
                      <wp:effectExtent l="0" t="0" r="0" b="0"/>
                      <wp:wrapNone/>
                      <wp:docPr id="384" name="Frame3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Years</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bank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4,274,600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18,557,562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14,229,062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4,328,500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We have not entered, and does not expect to enter, into any off-balance sheet arrangements. We have also not entered into any financial guarantees or other commitments to guarantee the payment obligations of third parties. In addition, we have not entered into any derivative contracts indexed to equity interests and classified as shareholders’ equity.</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research and development services with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Cautionary Statement Regarding Forward-Looking Statements</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This current report contains “forward-looking statements” within the meaning of Section 27A of the Securities Act of 1933, as amended, and Section 21E of the Exchange Act that involve substantial risks and uncertainties. All statements other than statements of historical facts contained in this current report,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Form 6-K.</w:t>
      </w:r>
    </w:p>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to maintain the listing of the Ordinary Shares on Nasdaq;</w:t>
            </w:r>
          </w:p>
        </w:tc>
      </w:tr>
    </w:tbl>
    <w:tbl>
      <w:tblPr>
        <w:tblW w:w="6678" w:type="dxa"/>
        <w:jc w:val="left"/>
        <w:tblInd w:w="0" w:type="dxa"/>
        <w:tblLayout w:type="fixed"/>
        <w:tblCellMar>
          <w:top w:w="0" w:type="dxa"/>
          <w:left w:w="0" w:type="dxa"/>
          <w:bottom w:w="0" w:type="dxa"/>
          <w:right w:w="0" w:type="dxa"/>
        </w:tblCellMar>
      </w:tblPr>
      <w:tblGrid>
        <w:gridCol w:w="23"/>
        <w:gridCol w:w="170"/>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markets are rapidly evolving and may decline or experience limited growth;</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retain and expand our customer base;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tbl>
      <w:tblPr>
        <w:tblW w:w="5838" w:type="dxa"/>
        <w:jc w:val="left"/>
        <w:tblInd w:w="0" w:type="dxa"/>
        <w:tblLayout w:type="fixed"/>
        <w:tblCellMar>
          <w:top w:w="0" w:type="dxa"/>
          <w:left w:w="0" w:type="dxa"/>
          <w:bottom w:w="0" w:type="dxa"/>
          <w:right w:w="0" w:type="dxa"/>
        </w:tblCellMar>
      </w:tblPr>
      <w:tblGrid>
        <w:gridCol w:w="23"/>
        <w:gridCol w:w="170"/>
        <w:gridCol w:w="5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compete effectively in the markets in which we operate;</w:t>
            </w:r>
          </w:p>
        </w:tc>
      </w:tr>
    </w:tbl>
    <w:tbl>
      <w:tblPr>
        <w:tblW w:w="2943" w:type="dxa"/>
        <w:jc w:val="left"/>
        <w:tblInd w:w="0" w:type="dxa"/>
        <w:tblLayout w:type="fixed"/>
        <w:tblCellMar>
          <w:top w:w="0" w:type="dxa"/>
          <w:left w:w="0" w:type="dxa"/>
          <w:bottom w:w="0" w:type="dxa"/>
          <w:right w:w="0" w:type="dxa"/>
        </w:tblCellMar>
      </w:tblPr>
      <w:tblGrid>
        <w:gridCol w:w="23"/>
        <w:gridCol w:w="170"/>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relationships with consumers;</w:t>
            </w:r>
          </w:p>
        </w:tc>
      </w:tr>
    </w:tbl>
    <w:tbl>
      <w:tblPr>
        <w:tblW w:w="3663" w:type="dxa"/>
        <w:jc w:val="left"/>
        <w:tblInd w:w="0" w:type="dxa"/>
        <w:tblLayout w:type="fixed"/>
        <w:tblCellMar>
          <w:top w:w="0" w:type="dxa"/>
          <w:left w:w="0" w:type="dxa"/>
          <w:bottom w:w="0" w:type="dxa"/>
          <w:right w:w="0" w:type="dxa"/>
        </w:tblCellMar>
      </w:tblPr>
      <w:tblGrid>
        <w:gridCol w:w="23"/>
        <w:gridCol w:w="17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to maintain and enhance our brand;</w:t>
            </w:r>
          </w:p>
        </w:tc>
      </w:tr>
    </w:tbl>
    <w:tbl>
      <w:tblPr>
        <w:tblW w:w="8838" w:type="dxa"/>
        <w:jc w:val="left"/>
        <w:tblInd w:w="0" w:type="dxa"/>
        <w:tblLayout w:type="fixed"/>
        <w:tblCellMar>
          <w:top w:w="0" w:type="dxa"/>
          <w:left w:w="0" w:type="dxa"/>
          <w:bottom w:w="0" w:type="dxa"/>
          <w:right w:w="0" w:type="dxa"/>
        </w:tblCellMar>
      </w:tblPr>
      <w:tblGrid>
        <w:gridCol w:w="23"/>
        <w:gridCol w:w="170"/>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to prevent security breaches or unauthorized access to our or our third-party service providers’ data;</w:t>
            </w:r>
          </w:p>
        </w:tc>
      </w:tr>
    </w:tbl>
    <w:tbl>
      <w:tblPr>
        <w:tblW w:w="9693" w:type="dxa"/>
        <w:jc w:val="left"/>
        <w:tblInd w:w="0" w:type="dxa"/>
        <w:tblLayout w:type="fixed"/>
        <w:tblCellMar>
          <w:top w:w="0" w:type="dxa"/>
          <w:left w:w="0" w:type="dxa"/>
          <w:bottom w:w="0" w:type="dxa"/>
          <w:right w:w="0" w:type="dxa"/>
        </w:tblCellMar>
      </w:tblPr>
      <w:tblGrid>
        <w:gridCol w:w="23"/>
        <w:gridCol w:w="170"/>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laws, contractual obligations and industry standards relating to privacy, data protection and data security;</w:t>
            </w:r>
          </w:p>
        </w:tc>
      </w:tr>
    </w:tbl>
    <w:tbl>
      <w:tblPr>
        <w:tblW w:w="3678" w:type="dxa"/>
        <w:jc w:val="left"/>
        <w:tblInd w:w="0" w:type="dxa"/>
        <w:tblLayout w:type="fixed"/>
        <w:tblCellMar>
          <w:top w:w="0" w:type="dxa"/>
          <w:left w:w="0" w:type="dxa"/>
          <w:bottom w:w="0" w:type="dxa"/>
          <w:right w:w="0" w:type="dxa"/>
        </w:tblCellMar>
      </w:tblPr>
      <w:tblGrid>
        <w:gridCol w:w="23"/>
        <w:gridCol w:w="170"/>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risks related to our corporate structure; and</w:t>
            </w:r>
          </w:p>
        </w:tc>
      </w:tr>
    </w:tbl>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other matters described in the section titled “Risk Factors” of the Annual Report.</w:t>
            </w:r>
          </w:p>
        </w:tc>
      </w:tr>
    </w:tbl>
    <w:p>
      <w:pPr>
        <w:pStyle w:val="TextBody"/>
        <w:bidi w:val="0"/>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current report.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2444/000110465926091972/tm2621907-1_f3a.htm" TargetMode="External"/><Relationship Id="rId3" Type="http://schemas.openxmlformats.org/officeDocument/2006/relationships/hyperlink" Target="https://www.sec.gov/Archives/edgar/data/1982444/000110465926091986/tm2622007-1_posam.htm" TargetMode="External"/><Relationship Id="rId4" Type="http://schemas.openxmlformats.org/officeDocument/2006/relationships/hyperlink" Target="https://www.sec.gov/Archives/edgar/data/1982444/000110465925002524/tm251995d1_s8.htm" TargetMode="External"/><Relationship Id="rId5" Type="http://schemas.openxmlformats.org/officeDocument/2006/relationships/hyperlink" Target="https://www.sec.gov/Archives/edgar/data/1982444/000110465926025589/tm263761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19868</Words>
  <Characters>111732</Characters>
  <CharactersWithSpaces>133069</CharactersWithSpaces>
  <Paragraphs>5111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