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007-1_posam.htm"/>
        <w:bookmarkStart w:id="1" w:name="kstm26220071_posam"/>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7">
                <wp:simplePos x="0" y="0"/>
                <wp:positionH relativeFrom="page">
                  <wp:posOffset>304800</wp:posOffset>
                </wp:positionH>
                <wp:positionV relativeFrom="page">
                  <wp:posOffset>9383395</wp:posOffset>
                </wp:positionV>
                <wp:extent cx="7560310" cy="381000"/>
                <wp:effectExtent l="0" t="0" r="0" b="0"/>
                <wp:wrapNone/>
                <wp:docPr id="1" name="Frame5"/>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304800</wp:posOffset>
                </wp:positionH>
                <wp:positionV relativeFrom="page">
                  <wp:posOffset>9383395</wp:posOffset>
                </wp:positionV>
                <wp:extent cx="7560310" cy="381000"/>
                <wp:effectExtent l="0" t="0" r="0" b="0"/>
                <wp:wrapNone/>
                <wp:docPr id="2" name="Frame4"/>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304800</wp:posOffset>
                </wp:positionH>
                <wp:positionV relativeFrom="page">
                  <wp:posOffset>9383395</wp:posOffset>
                </wp:positionV>
                <wp:extent cx="7560310" cy="381000"/>
                <wp:effectExtent l="0" t="0" r="0" b="0"/>
                <wp:wrapNone/>
                <wp:docPr id="3" name="Frame3"/>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304800</wp:posOffset>
                </wp:positionH>
                <wp:positionV relativeFrom="page">
                  <wp:posOffset>9383395</wp:posOffset>
                </wp:positionV>
                <wp:extent cx="7560310" cy="381000"/>
                <wp:effectExtent l="0" t="0" r="0" b="0"/>
                <wp:wrapNone/>
                <wp:docPr id="4" name="Frame2"/>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6,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333-283249</w:t>
      </w:r>
      <w:r>
        <w:rPr>
          <w:rFonts w:ascii="Times New Roman;Times;serif" w:hAnsi="Times New Roman;Times;serif"/>
          <w:b/>
          <w:i w:val="false"/>
          <w:caps w:val="false"/>
          <w:smallCaps w:val="false"/>
          <w:color w:val="000000"/>
          <w:sz w:val="18"/>
        </w:rPr>
        <w:t>​</w:t>
      </w:r>
    </w:p>
    <w:p>
      <w:pPr>
        <w:pStyle w:val="TextBody"/>
        <w:bidi w:val="0"/>
        <w:spacing w:before="1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6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p>
    <w:p>
      <w:pPr>
        <w:pStyle w:val="TextBody"/>
        <w:bidi w:val="0"/>
        <w:spacing w:lineRule="atLeast" w:line="200"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before="7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84" w:after="283"/>
        <w:jc w:val="center"/>
        <w:rPr>
          <w:rFonts w:ascii="Times New Roman;Times;serif" w:hAnsi="Times New Roman;Times;serif"/>
          <w:b/>
          <w:i w:val="false"/>
          <w:caps w:val="false"/>
          <w:smallCaps w:val="false"/>
          <w:color w:val="000000"/>
          <w:spacing w:val="-4"/>
          <w:sz w:val="18"/>
        </w:rPr>
      </w:pPr>
      <w:r>
        <w:rPr>
          <w:rFonts w:ascii="Times New Roman;Times;serif" w:hAnsi="Times New Roman;Times;serif"/>
          <w:b/>
          <w:i w:val="false"/>
          <w:caps w:val="false"/>
          <w:smallCaps w:val="false"/>
          <w:color w:val="000000"/>
          <w:spacing w:val="-4"/>
          <w:sz w:val="18"/>
        </w:rPr>
        <w:t xml:space="preserve">Post-effective Amendment No. 2 </w:t>
      </w:r>
    </w:p>
    <w:p>
      <w:pPr>
        <w:pStyle w:val="TextBody"/>
        <w:bidi w:val="0"/>
        <w:spacing w:lineRule="atLeast" w:line="200" w:before="3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To</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00" w:before="6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FORM F-1 </w:t>
      </w:r>
    </w:p>
    <w:p>
      <w:pPr>
        <w:pStyle w:val="TextBody"/>
        <w:bidi w:val="0"/>
        <w:spacing w:lineRule="atLeast" w:line="240" w:before="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on</w:t>
      </w:r>
      <w:r>
        <w:rPr>
          <w:rFonts w:ascii="Times New Roman;Times;serif" w:hAnsi="Times New Roman;Times;serif"/>
          <w:b/>
          <w:i w:val="false"/>
          <w:caps w:val="false"/>
          <w:smallCaps w:val="false"/>
          <w:color w:val="000000"/>
          <w:sz w:val="22"/>
        </w:rPr>
        <w:t xml:space="preserve"> </w:t>
      </w:r>
    </w:p>
    <w:p>
      <w:pPr>
        <w:pStyle w:val="TextBody"/>
        <w:bidi w:val="0"/>
        <w:spacing w:lineRule="atLeast" w:line="300" w:before="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F-3</w:t>
      </w:r>
      <w:r>
        <w:rPr>
          <w:rFonts w:ascii="Times New Roman;Times;serif" w:hAnsi="Times New Roman;Times;serif"/>
          <w:b/>
          <w:i w:val="false"/>
          <w:caps w:val="false"/>
          <w:smallCaps w:val="false"/>
          <w:color w:val="000000"/>
          <w:sz w:val="28"/>
        </w:rPr>
        <w:t xml:space="preserve"> </w:t>
      </w:r>
    </w:p>
    <w:p>
      <w:pPr>
        <w:pStyle w:val="TextBody"/>
        <w:bidi w:val="0"/>
        <w:spacing w:lineRule="atLeast" w:line="190" w:before="20" w:after="283"/>
        <w:jc w:val="center"/>
        <w:rPr>
          <w:rFonts w:ascii="Times New Roman;Times;serif" w:hAnsi="Times New Roman;Times;serif"/>
          <w:b/>
          <w:i/>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caps w:val="false"/>
          <w:smallCaps w:val="false"/>
          <w:color w:val="000000"/>
          <w:sz w:val="18"/>
        </w:rPr>
        <w:br/>
      </w:r>
      <w:r>
        <w:rPr>
          <w:rFonts w:ascii="Times New Roman;Times;serif" w:hAnsi="Times New Roman;Times;serif"/>
          <w:b/>
          <w:i/>
          <w:caps w:val="false"/>
          <w:smallCaps w:val="false"/>
          <w:color w:val="000000"/>
          <w:spacing w:val="-4"/>
          <w:sz w:val="18"/>
        </w:rPr>
        <w:t xml:space="preserve">UNDER </w:t>
      </w:r>
      <w:r>
        <w:rPr>
          <w:rFonts w:ascii="Times New Roman;Times;serif" w:hAnsi="Times New Roman;Times;serif"/>
          <w:b/>
          <w:i/>
          <w:caps w:val="false"/>
          <w:smallCaps w:val="false"/>
          <w:color w:val="000000"/>
          <w:sz w:val="18"/>
        </w:rPr>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caps w:val="false"/>
          <w:smallCaps w:val="false"/>
          <w:color w:val="000000"/>
          <w:spacing w:val="4"/>
          <w:sz w:val="18"/>
        </w:rPr>
        <w:t xml:space="preserve"> </w:t>
      </w:r>
    </w:p>
    <w:p>
      <w:pPr>
        <w:pStyle w:val="TextBody"/>
        <w:bidi w:val="0"/>
        <w:spacing w:before="7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84"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Baird Medical Investment Holdings Limited</w:t>
      </w:r>
      <w:r>
        <w:rPr>
          <w:rFonts w:ascii="Times New Roman;Times;serif" w:hAnsi="Times New Roman;Times;serif"/>
          <w:b w:val="false"/>
          <w:i w:val="false"/>
          <w:caps w:val="false"/>
          <w:smallCaps w:val="false"/>
          <w:color w:val="000000"/>
          <w:spacing w:val="6"/>
          <w:sz w:val="28"/>
        </w:rPr>
        <w:t xml:space="preserve"> </w:t>
      </w:r>
      <w:r>
        <w:rPr>
          <w:rFonts w:ascii="Times New Roman;Times;serif" w:hAnsi="Times New Roman;Times;serif"/>
          <w:b w:val="false"/>
          <w:i w:val="false"/>
          <w:caps w:val="false"/>
          <w:smallCaps w:val="false"/>
          <w:color w:val="000000"/>
          <w:sz w:val="28"/>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p>
      <w:pPr>
        <w:pStyle w:val="TextBody"/>
        <w:bidi w:val="0"/>
        <w:spacing w:before="9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4" w:after="283"/>
        <w:jc w:val="center"/>
        <w:rPr>
          <w:rFonts w:ascii="Times New Roman;Times;serif" w:hAnsi="Times New Roman;Times;serif"/>
          <w:b/>
          <w:i w:val="false"/>
          <w:caps w:val="false"/>
          <w:smallCaps w:val="false"/>
          <w:color w:val="000000"/>
          <w:spacing w:val="-4"/>
          <w:sz w:val="18"/>
        </w:rPr>
      </w:pPr>
      <w:r>
        <w:rPr>
          <w:rFonts w:ascii="Times New Roman;Times;serif" w:hAnsi="Times New Roman;Times;serif"/>
          <w:b/>
          <w:i w:val="false"/>
          <w:caps w:val="false"/>
          <w:smallCaps w:val="false"/>
          <w:color w:val="000000"/>
          <w:spacing w:val="-4"/>
          <w:sz w:val="18"/>
        </w:rPr>
        <w:t xml:space="preserve">Not Applicable </w:t>
      </w:r>
    </w:p>
    <w:p>
      <w:pPr>
        <w:pStyle w:val="TextBody"/>
        <w:bidi w:val="0"/>
        <w:spacing w:lineRule="atLeast" w:line="16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(Translation of registrant’s name into English)</w:t>
      </w:r>
      <w:r>
        <w:rPr>
          <w:rFonts w:ascii="Times New Roman;Times;serif" w:hAnsi="Times New Roman;Times;serif"/>
          <w:b w:val="false"/>
          <w:i w:val="false"/>
          <w:caps w:val="false"/>
          <w:smallCaps w:val="false"/>
          <w:color w:val="000000"/>
          <w:sz w:val="16"/>
        </w:rPr>
        <w:t xml:space="preserve"> </w:t>
      </w:r>
    </w:p>
    <w:p>
      <w:pPr>
        <w:pStyle w:val="TextBody"/>
        <w:bidi w:val="0"/>
        <w:spacing w:before="7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pPr>
            <w:r>
              <w:rPr>
                <w:spacing w:val="-4"/>
              </w:rPr>
              <w:t>Cayman Islands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4"/>
              </w:rPr>
              <w:t>Not Applicable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lineRule="atLeast" w:line="180" w:before="0" w:after="0"/>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lineRule="atLeast" w:line="180" w:before="0" w:after="0"/>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156"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Room 202, 2/F, Baide Building, Building 11, No. 15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Rongtong Street, Yuexiu District, Guangzhou, Peoples Republic of China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(86) 20 8218-5926 </w:t>
      </w:r>
    </w:p>
    <w:p>
      <w:pPr>
        <w:pStyle w:val="TextBody"/>
        <w:bidi w:val="0"/>
        <w:spacing w:lineRule="atLeast" w:line="16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and telephone number of registrant’s principal executive offices)</w:t>
      </w:r>
      <w:r>
        <w:rPr>
          <w:rFonts w:ascii="Times New Roman;Times;serif" w:hAnsi="Times New Roman;Times;serif"/>
          <w:b w:val="false"/>
          <w:i w:val="false"/>
          <w:caps w:val="false"/>
          <w:smallCaps w:val="false"/>
          <w:color w:val="000000"/>
          <w:sz w:val="16"/>
        </w:rPr>
        <w:t xml:space="preserve"> </w:t>
      </w:r>
    </w:p>
    <w:p>
      <w:pPr>
        <w:pStyle w:val="TextBody"/>
        <w:bidi w:val="0"/>
        <w:spacing w:before="7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8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Puglisi &amp; Associates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850 Library Avenue, Suite 204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Newark, DE 19711</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6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and telephone number of agent for service)</w:t>
      </w:r>
      <w:r>
        <w:rPr>
          <w:rFonts w:ascii="Times New Roman;Times;serif" w:hAnsi="Times New Roman;Times;serif"/>
          <w:b w:val="false"/>
          <w:i w:val="false"/>
          <w:caps w:val="false"/>
          <w:smallCaps w:val="false"/>
          <w:color w:val="000000"/>
          <w:sz w:val="16"/>
        </w:rPr>
        <w:t xml:space="preserve"> </w:t>
      </w:r>
    </w:p>
    <w:p>
      <w:pPr>
        <w:pStyle w:val="TextBody"/>
        <w:bidi w:val="0"/>
        <w:spacing w:before="7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86"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p>
      <w:pPr>
        <w:pStyle w:val="TextBody"/>
        <w:bidi w:val="0"/>
        <w:spacing w:lineRule="atLeast" w:line="19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Dan Ouyang, Esq.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K. Ronnie Li, Esq.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Baker &amp; McKenzie LLP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Suite 3401, China World Office 2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China World Trade Centre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1 Jianguomenwai Dajie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Beijing 100004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People’s Republic of China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(86-10) 6535-3800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0"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val="false"/>
          <w:i w:val="false"/>
          <w:caps w:val="false"/>
          <w:smallCaps w:val="false"/>
          <w:color w:val="000000"/>
          <w:spacing w:val="4"/>
          <w:sz w:val="18"/>
        </w:rPr>
        <w:t xml:space="preserve">From time to time after the effective date of this registration statement. </w:t>
      </w:r>
    </w:p>
    <w:p>
      <w:pPr>
        <w:pStyle w:val="TextBody"/>
        <w:bidi w:val="0"/>
        <w:spacing w:lineRule="atLeast" w:line="18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only securities being registered on this Form are being offered pursuant to dividend or interest reinvestment plans, please check the following box. ☐ </w:t>
      </w:r>
    </w:p>
    <w:p>
      <w:pPr>
        <w:pStyle w:val="TextBody"/>
        <w:bidi w:val="0"/>
        <w:spacing w:lineRule="atLeast" w:line="18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lineRule="atLeast" w:line="18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8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8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lineRule="atLeast" w:line="18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lineRule="atLeast" w:line="18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an emerging growth company as defined in Rule 405 of the Securities Act of 1933. </w:t>
      </w:r>
    </w:p>
    <w:p>
      <w:pPr>
        <w:pStyle w:val="TextBody"/>
        <w:bidi w:val="0"/>
        <w:spacing w:lineRule="atLeast" w:line="180" w:before="40" w:after="283"/>
        <w:ind w:left="94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Emerging growth company ☒ </w:t>
      </w:r>
    </w:p>
    <w:p>
      <w:pPr>
        <w:pStyle w:val="TextBody"/>
        <w:bidi w:val="0"/>
        <w:spacing w:lineRule="atLeast" w:line="18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80" w:before="40"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13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58" w:after="0"/>
        <w:ind w:left="94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term “new or revised financial accounting standard” refers to any update issued by the Financial Accounting Standards Board to its Accounting Standards Codification after April 5, 2012. </w:t>
      </w:r>
      <w:r>
        <mc:AlternateContent>
          <mc:Choice Requires="wps">
            <w:drawing>
              <wp:anchor behindDoc="0" distT="10033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5"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8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15, 2026, the registration statement on Form F-1 (File No. 333-283249) (as amended, the “Registration Statement”) of Baird Medical Investment Holdings Limited (the “Registrant”) was declared effective by the U.S. Securities and Exchange Commission (the “SEC”).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22, 2026, the Registrant filed post-effective amendment No.1 to the Registration Statement to (1) convert the Registration Statement (and all amendments thereto) into a registration statement on Form F-3 and (2) include its financial statements as of and for the year ended December 31, 2025 and update certain other information contained in the Registration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is filing this post-effective amendment No. 2 to the Registration Statement to reflect an amendment to its annual report on Form 20-F for the year ended December 31, 2025, filed with the SEC on Form 20-F/A on July 27, 2026, and to update certain other information contained in the Registration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additional securities are being registered by this post-effective amendment No.2. All applicable registration fees were paid at the time of the original filing of the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260"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August 6, 2026</w:t>
      </w:r>
      <w:r>
        <w:rPr>
          <w:rFonts w:ascii="Times New Roman;Times;serif" w:hAnsi="Times New Roman;Times;serif"/>
          <w:b/>
          <w:i w:val="false"/>
          <w:caps w:val="false"/>
          <w:smallCaps w:val="false"/>
          <w:color w:val="FC001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UP TO 11,500,000 ORDINARY SHARES ISSUABLE UPON THE EXERCISE OF WARRANTS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UP TO 34,415,562 ORDINARY SHARES OFFERED BY SELLING SECURITYHOLDERS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OF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BAIRD MEDICAL INVESTMENT HOLDINGS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issuance by Baird Medical Investment Holdings Limited (“we,” “us,” “Baird Medical” or the “Company”) of up to 11,500,000 ordinary shares, par value US$0.0001 per share, of the Company (the “Ordinary Shares”), issuable upon the exercise of warrants to purchase Ordinary Shares at an exercise price of US$11.50, which were issued on October 1, 2024 (the “Closing Date”) in exchange for the public warrants of ExcelFin Acquisition Corp. (“ExcelFin”) that were issued in the initial public offering of ExcelFin (the “Public Warrants” or “Warrants”).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also relates to the potential offer and sale from time to time by the selling securityholders named in this prospectus or their pledgees, donees, transferees, assignees or other successors in interest (that receive any of the securities as a gift, distribution, or other non-sale related transfer) (collectively, the “Selling Securityholders”) of up to 34,415,562 Ordinary Shares, including (1) 27,463,627 issued and outstanding Ordinary Shares held by 16 shareholders of Betters Medical Investment Holdings Limited (“Betters Medical”), which were issued to Betters Medical in connection with the business combination with ExcelFin (the “Business Combination”) valued at US$10.20 per share and distributed to the existing shareholders of Betters Medical as a stock dividend through a pro rata distribution in proportion to Betters Medical’s shareholding structure (the “Pro Rata Distribution”) on June 25, 2025; such shares, taking into account the Business Combination, would be deemed as acquired by such shareholders (other than our founder) at a price ranging from approximately RMB1.4 to RMB33.6 per share; see “Selling Securityholders” for details; (2) 6,028,406 issued and outstanding Ordinary Shares issued to ExcelFin SPAC LLC (the “Sponsor”) and certain other shareholders of ExcelFin (the “Sponsor Shares”), comprising (x) 5,750,000 Ordinary Shares exchanged from 5,750,000 ExcelFin Class A Common Stock purchased by the Sponsor at a price of approximately US$0.004 per share; and (y) 278,406 Ordinary Shares converted from the aggregate outstanding balance of certain working capital loans provided to ExcelFin by the Sponsor and its affiliates at a conversion price of US$10.20 per share; (3) 50,000 issued and outstanding Ordinary Shares currently held by J.V.B. Financial Group, LLC (“Cohen”), which were issued to Cohen valued at US$10.00 per share; (4) up to 290,000 Ordinary Shares by Grand Fortune Capital, LLC (“GFC”) upon conversion of 290,000 issued and outstanding Series A Convertible Preferred Shares (the “GFC Shares”) acquired by GFC in a private placement concurrently with the closing of the Business Combination at US$10.00 per share in accordance with the Amended and Restated Articles of Association of Baird Medical; and (5) 583,529 issued and outstanding Ordinary Shares currently held by Grand Fortune Capital (H.K.) Company Limited (“Grand Fortune”), which were issued to Grand Fortune valued at US$6.75 per share.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registered herein are identified in this prospectus as the Registered Securities. We are registering the offer and sale of the Registered Securities, in part, to satisfy certain registration rights we have granted. The Selling Securityholders may offer all or part of the Registered Securities for resale from time to time through public or private transactions, at either prevailing market prices or at privately negotiated prices. The Registered Securities are being registered to permit the Selling Securityholders to sell securities from time to time, in amounts, at prices and on terms determined at the time of offering. The Selling Securityholders may sell the Registered Securities through ordinary brokerage transactions, in underwritten offerings, directly to market makers of our securities or through any other means described in the section entitled “Plan of Distribution” herein. In connection with any sales of the Registered Securities offered hereunder, the Selling Securityholders, any underwriters, agents, brokers or dealers participating in such sales may be deemed to be “underwriters” within the meaning of the Securities Act of 1933, as amended (the “Securities Act”).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lock-up restrictions described in this prospectus under the section titled “Plan of Distribution,” and assuming the Earnout Shares will be vested, the Selling Securityholders can sell, under this prospectus, up to 34,415,562 Ordinary Shares constituting (on a post-exercise basis) approximately 63.8% of our issued and outstanding Ordinary Shares as of August 5, 2026 (assuming the exercise of all of our outstanding Warrants and full conversion of GFC Shares into 290,000 Ordinary Shares). Despite a potential decline in the public trading price of the Ordinary Shares, certain Selling Securityholders may still experience a positive rate of return on the securities that they sell pursuant to this prospectus as they have acquired the securities registered hereunder at prices substantially below current market prices, and may therefore have an incentive to sell their securities. For example, based on the closing price of our Ordinary Shares at US$1.07 on August 5, 2026, the holders of Sponsor Shares may experience a potential profit of up to US$1.066 per share; and certain shareholders of Betters Medical following the Pro Rata Distribution may experience a potential profit of up to US$0.88 per share. The holders of Public Warrants may experience a potential profit on their Warrants if the price of our Ordinary Shares exceeds US$11.50 per share. However, the public holders of our securities may not experience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2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similar rate of return on the securities they purchase due to differences in the applicable purchase price and trading price. Given the substantial number of securities being registered for potential resale by the Selling Securityholders pursuant to this prospectus, the sale of such securities by the Selling Securityholders, or the perception in the market that the Selling Securityholders may or intend to sell all or a significant portion of such securities, could increase the volatility of the market price of our Ordinary Shares or result in a significant decline in the public trading price of our Ordinary Shares. </w:t>
      </w:r>
    </w:p>
    <w:p>
      <w:pPr>
        <w:pStyle w:val="TextBody"/>
        <w:bidi w:val="0"/>
        <w:spacing w:lineRule="atLeast" w:line="24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the sale of the securities by the Selling Securityholders. We will receive proceeds from the exercise of Warrants if the Warrants are exercised for cash. The likelihood that warrant holders will exercise the Warrants and any cash proceeds that we would receive is dependent upon the market price of our Ordinary Shares. Based on the closing price of our Ordinary Shares at US$1.07 on August 5, 2026, which is less than the exercise price of US$11.50 per share pursuant to the terms of the Warrants, we believe the warrant holders will be unlikely to exercise their Warrants, and we are unlikely to receive proceeds from the exercise of Warrants. We will pay the expenses associated with registering the sales by the Selling Securityholders, as described in more details in the section titled “Use of Proceeds” appearing elsewhere in this prospectus. </w:t>
      </w:r>
    </w:p>
    <w:p>
      <w:pPr>
        <w:pStyle w:val="TextBody"/>
        <w:bidi w:val="0"/>
        <w:spacing w:lineRule="atLeast" w:line="24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our Warrants to purchase Ordinary Shares are listed on the Nasdaq Stock Market LLC (“Nasdaq”), under the trading symbols “BDMD” and “BDMD W,” respectively. On August 5, 2026, the closing price for our Ordinary Shares on Nasdaq was US$1.07, and the closing price for our Warrants on Nasdaq was US$0.047. </w:t>
      </w:r>
    </w:p>
    <w:p>
      <w:pPr>
        <w:pStyle w:val="TextBody"/>
        <w:bidi w:val="0"/>
        <w:spacing w:lineRule="atLeast" w:line="24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lineRule="atLeast" w:line="24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Baird Medical is a Cayman Islands holding company and not a Chinese operating company. We carry out our business in China through our wholly-owned PRC subsidiaries. We face various legal and operational risks and uncertainties associated with being based in or having substantially all of our operations in China. We are subject to complex and evolving laws and regulations in China. The PRC government has indicated an intent to exert more oversight and control over offerings that are conducted overseas and/or foreign investment in China-based issuers, and initiated various regulatory actions and made various public statements, some of which are published with very short notice, including cracking down on illegal activities in the securities market, enhancing supervision over China-based companies listed overseas, adopting new measures to extend the scope of cybersecurity reviews, and expanding efforts in anti-monopoly enforcement. For instance, we face risks associated with regulatory approvals on overseas offerings and oversight on cybersecurity and data privacy, which may impact our ability to conduct certain business, accept foreign investments, or list and conduct offerings on a U.S. or other foreign stock exchange. These risks could result in a material adverse change in our operations and the value of the Ordinary Shares, significantly limit or completely hinder our ability to offer or continue to offer securities to investors, or cause the value of such securities to significantly decline or become worthless. For details, see “Item 3. Key Information — D. Risk Factors — Risks Related to Doing Business in China” in our annual report on Form 20-F for the year ended December 31, 2025 filed with the SEC on April 24, 2026, as amended by Amendment No. 1 on Form 20-F/A filed with the SEC on July 27, 2026 (the “2025 20-F”). </w:t>
      </w:r>
    </w:p>
    <w:p>
      <w:pPr>
        <w:pStyle w:val="TextBody"/>
        <w:bidi w:val="0"/>
        <w:spacing w:lineRule="atLeast" w:line="24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a number of prohibitions, restrictions and potential delisting risk under the Holding Foreign Companies Accountable Act, as amended by the Consolidated Appropriations Act 2023 (the “HFCAA”). Pursuant to the HFCAA and related regulations, if we have filed an audit report issued by a registered public accounting firm that the Public Company Accounting Oversight Board (the “PCAOB”) has determined that it is unable to inspect and investigate completely, the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We dismissed Marcum Asia CPAs LLP (“Marcum Asia”) and appointed Kreit &amp; Chiu CPA LLP (“Kreit &amp; Chiu”) as our independent registered public accounting firm, effective from January 24, 2025. We subsequently dismissed Kreit &amp; Chiu and appointed Guangdong Prouden CPAs GP (“Guangdong Prouden”) as our independent registered public accounting firm. Marcum Asia and Kreit &amp; Chiu, our former auditors, are independent public accounting firms registered with the PCAOB, are headquartered in the United States, and were not identified in the PCAOB’s 2021 determination report. Our current auditor, Guangdong Prouden, is an independent registered public accounting firm registered with the PCAOB, is headquartered in Guangzhou, China, and is subject to PCAOB inspections on a regular basis. Guangdong Prouden is not identified in the report issued by PCAOB on December 16, 2021 as a firm subject to the PCAOB’s determination. However, whether the PCAOB will continue to be able to satisfactorily conduct inspections of PCAOB-registered public accounting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2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firms headquartered in mainland China and Hong Kong is subject to uncertainties and depends on a number of factors out of our and our auditor’s control. The PCAOB continues to demand complete access in mainland China and Hong Kong moving forward and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we will be identified as a “Commission-identified Issuer,” and upon two consecutive years of non-inspection under the HFCAA, the Ordinary Shares will be delisted from the Nasdaq Stock Market and will not be permitted for trading over the counter either.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may be transferred among Baird Medical and our PRC subsidiaries, in the following manners: (1) funds may be transferred to our PRC subsidiaries from Baird Medical as needed through our subsidiaries in the British Virgin Islands (“BVI”) and Hong Kong in the form of capital contribution or shareholder loan, as the case may be; (2) dividends or other distributions may be paid by our PRC subsidiaries to Baird Medical through our subsidiaries in the BVI and Hong Kong; and (3) our PRC subsidiaries may lend to and borrow from each other from time to time for business operation purposes.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For details, see “Prospectus Summary — Implication of Being a Company with the Holding Company Structure — Cash and asset flows through our organization.”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 See “Prospectus Summary — Implication of Being a Company with the Holding Company Structure — Dividend distribution and taxation.”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17, 2023, the CSRC promulgated Trial Administrative Measures of the Overseas Securities Offering and Listing by Domestic Companies (the “Overseas Listing Trial Measures”) and circulated five supporting guidelines, which became effective on March 31, 2023. The Overseas Listing Trial Measures regulate both direct and indirect overseas offering and listing of PRC domestic companies’ securities by adopting a filing-based regulatory regime. We completed the filing procedures in connection with the Business Combination under the Overseas Listing Trial Measures on January 2, 2024, and the result of such CSRC approval was posted on the official website of the CSRC on the same date. We are not required to complete the CSRC filing procedures and obtain the CSRC approval under the Overseas Listing Trial Measures in connection with the resale of Registered Securities as described in this prospectus, because the resale of Registered Securities, including the Ordinary Shares issuable from the exercise of Warrants, does not involve the issuance of new securities of our Company that have not been previously included in our filing with the CSRC in connection with the Business Combination.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Overseas Listing Trial Measures, we may need to complete filing procedures for future offshore fund-raising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In addition, we cannot guarantee that new rules or regulations promulgated in the future will not impose any additional requirement or otherwise tightening the regulations on companies with contractual arrangements. If we violate or are deemed to have violated any current or future rules or regulations, regulatory agencies in China may impose fines and penalties on our operations in China, limit its operating privileges in China, delay or restrict the repatriation of the proceeds from offshore fund-raising activities into the PRC or take other actions that could materially adversely affect our business, financial condition and results of operations, as well as the trading price of our Ordinary Shares. See “Prospectus Summary — Regulatory Matters” and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 </w:t>
      </w:r>
    </w:p>
    <w:p>
      <w:pPr>
        <w:pStyle w:val="TextBody"/>
        <w:bidi w:val="0"/>
        <w:spacing w:lineRule="atLeast" w:line="24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our cash or assets in the business are in mainland China or Hong Kong or a mainland China or Hong Kong subsidiary, the funds or assets may not be available to fund operations or for other use outside of mainland China or Hong Kong due to interventions in or the imposition of restrictions and limitations on the ability of Baird Medical and our subsidiaries to transfer cash or assets. The PRC government imposes certain restrictions on the convertibility of RMB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2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into foreign currencies and the remittance of funds out of China, which may restrict the transfer of cash between Baird Medical and our PRC subsidiaries or the investors. Under PRC laws and regulations, our PRC subsidiaries are subject to certain restrictions with respect to payment of dividends or otherwise transfers of any of their net assets to us. Remittance of dividends by our PRC subsidiaries out of China is also subject to certain procedures with the banks designated by the PRC State Administration of Foreign Exchange.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“Prospectus Summary — Implication of Being a Company with the Holding Company Structure — Cash and asset flows through our organization,”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that term is used in the Jumpstart Our Business Startups Act of 2012, as amended, and, as such, may elect to comply with certain reduced public company reporting requirements in future reports.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within the meaning of the rules under the Securities Exchange Act of 1934, as amended (the “Exchange Act”), and as such we are exempt from certain provisions of the securities rules and regulations in the United States that are applicable to U.S. domestic issuers, such as the rules regulating solicitation of proxies and certain insider short-swing profit rules.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corporate governance standards of the Nasdaq Stock Market. </w:t>
      </w:r>
    </w:p>
    <w:p>
      <w:pPr>
        <w:pStyle w:val="TextBody"/>
        <w:bidi w:val="0"/>
        <w:spacing w:lineRule="atLeast" w:line="230" w:before="160" w:after="283"/>
        <w:ind w:left="1260" w:right="0" w:firstLine="400"/>
        <w:jc w:val="both"/>
        <w:rPr/>
      </w:pPr>
      <w:r>
        <w:rPr>
          <w:rFonts w:ascii="Times New Roman;Times;serif" w:hAnsi="Times New Roman;Times;serif"/>
          <w:b/>
          <w:i w:val="false"/>
          <w:caps w:val="false"/>
          <w:smallCaps w:val="false"/>
          <w:color w:val="000000"/>
          <w:spacing w:val="-4"/>
          <w:sz w:val="20"/>
        </w:rPr>
        <w:t xml:space="preserve">Investing in our securities involves a high degree of risk. See “Risk Factors” beginning on page </w:t>
      </w:r>
      <w:hyperlink w:anchor="tRIFA">
        <w:r>
          <w:rPr>
            <w:rStyle w:val="InternetLink"/>
          </w:rPr>
          <w:t>14</w:t>
        </w:r>
      </w:hyperlink>
      <w:r>
        <w:rPr>
          <w:rFonts w:ascii="Times New Roman;Times;serif" w:hAnsi="Times New Roman;Times;serif"/>
          <w:b/>
          <w:i w:val="false"/>
          <w:caps w:val="false"/>
          <w:smallCaps w:val="false"/>
          <w:color w:val="000000"/>
          <w:spacing w:val="-4"/>
          <w:sz w:val="20"/>
        </w:rPr>
        <w:t xml:space="preserve"> of this prospectus and other risk factors contained in the documents incorporated by reference herein for a discussion of information that should be considered in connection with an investment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26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other regulatory body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479"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DATED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8"/>
        <w:gridCol w:w="109"/>
        <w:gridCol w:w="109"/>
        <w:gridCol w:w="109"/>
        <w:gridCol w:w="109"/>
        <w:gridCol w:w="38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TOF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TOFF">
              <w:r>
                <w:rPr>
                  <w:rStyle w:val="InternetLink"/>
                  <w:spacing w:val="4"/>
                </w:rPr>
                <w:t>10</w:t>
              </w:r>
            </w:hyperlink>
            <w:hyperlink w:anchor="tTOF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IODB">
              <w:r>
                <w:rPr>
                  <w:rStyle w:val="InternetLink"/>
                  <w:spacing w:val="4"/>
                </w:rPr>
                <w:t xml:space="preserve">INCORPORATION OF DOCUMENTS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IODB">
              <w:r>
                <w:rPr>
                  <w:rStyle w:val="InternetLink"/>
                  <w:spacing w:val="4"/>
                </w:rPr>
                <w:t>12</w:t>
              </w:r>
            </w:hyperlink>
            <w:hyperlink w:anchor="tIOD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SNRF">
              <w:r>
                <w:rPr>
                  <w:rStyle w:val="InternetLink"/>
                  <w:spacing w:val="4"/>
                </w:rPr>
                <w:t>13</w:t>
              </w:r>
            </w:hyperlink>
            <w:hyperlink w:anchor="t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RIFA">
              <w:r>
                <w:rPr>
                  <w:rStyle w:val="InternetLink"/>
                  <w:spacing w:val="4"/>
                </w:rPr>
                <w:t>14</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UOP">
              <w:r>
                <w:rPr>
                  <w:rStyle w:val="InternetLink"/>
                  <w:spacing w:val="4"/>
                </w:rPr>
                <w:t>23</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DOOS">
              <w:r>
                <w:rPr>
                  <w:rStyle w:val="InternetLink"/>
                  <w:spacing w:val="4"/>
                </w:rPr>
                <w:t xml:space="preserve">DESCRIPTION OF THE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DOOS">
              <w:r>
                <w:rPr>
                  <w:rStyle w:val="InternetLink"/>
                  <w:spacing w:val="4"/>
                </w:rPr>
                <w:t>24</w:t>
              </w:r>
            </w:hyperlink>
            <w:hyperlink w:anchor="tDOO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SSH">
              <w:r>
                <w:rPr>
                  <w:rStyle w:val="InternetLink"/>
                  <w:spacing w:val="4"/>
                </w:rPr>
                <w:t xml:space="preserve">SELLING SECURITYHOLDERS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SSH">
              <w:r>
                <w:rPr>
                  <w:rStyle w:val="InternetLink"/>
                  <w:spacing w:val="4"/>
                </w:rPr>
                <w:t>45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POD">
              <w:r>
                <w:rPr>
                  <w:rStyle w:val="InternetLink"/>
                  <w:spacing w:val="4"/>
                </w:rPr>
                <w:t>52</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TAX">
              <w:r>
                <w:rPr>
                  <w:rStyle w:val="InternetLink"/>
                  <w:spacing w:val="4"/>
                </w:rPr>
                <w:t>56</w:t>
              </w:r>
            </w:hyperlink>
            <w:hyperlink w:anchor="tTAX">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ind w:left="200" w:right="0" w:hanging="200"/>
              <w:jc w:val="left"/>
              <w:rPr/>
            </w:pPr>
            <w:hyperlink w:anchor="tEOCL">
              <w:r>
                <w:rPr>
                  <w:rStyle w:val="InternetLink"/>
                  <w:spacing w:val="4"/>
                </w:rPr>
                <w:t xml:space="preserve">ENFORCEABILITY OF CIVIL LIABILITIES AND AGENT FOR SERVICE OF PROCESS IN THE UNITED STATES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EOCL">
              <w:r>
                <w:rPr>
                  <w:rStyle w:val="InternetLink"/>
                  <w:spacing w:val="4"/>
                </w:rPr>
                <w:t>57</w:t>
              </w:r>
            </w:hyperlink>
            <w:hyperlink w:anchor="tEOCL">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ERTO">
              <w:r>
                <w:rPr>
                  <w:rStyle w:val="InternetLink"/>
                  <w:spacing w:val="4"/>
                </w:rPr>
                <w:t xml:space="preserve">EXPENSES RELATED TO 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ERTO">
              <w:r>
                <w:rPr>
                  <w:rStyle w:val="InternetLink"/>
                  <w:spacing w:val="4"/>
                </w:rPr>
                <w:t>59</w:t>
              </w:r>
            </w:hyperlink>
            <w:hyperlink w:anchor="tERT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LEMA">
              <w:r>
                <w:rPr>
                  <w:rStyle w:val="InternetLink"/>
                  <w:spacing w:val="4"/>
                </w:rPr>
                <w:t>60</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EXP">
              <w:r>
                <w:rPr>
                  <w:rStyle w:val="InternetLink"/>
                  <w:spacing w:val="4"/>
                </w:rPr>
                <w:t>61</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WYCF">
              <w:r>
                <w:rPr>
                  <w:rStyle w:val="InternetLink"/>
                  <w:spacing w:val="4"/>
                </w:rPr>
                <w:t xml:space="preserve">WHERE YOU CAN FIND MORE INFORMATION ABOUT 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WYCF">
              <w:r>
                <w:rPr>
                  <w:rStyle w:val="InternetLink"/>
                  <w:spacing w:val="4"/>
                </w:rPr>
                <w:t>62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Baird Medical Investment Holdings Limited filed with the SEC, utilizing a “shelf” registration process. By using a shelf registration statement, we and the Selling Securityholders named in this prospectus may, from time to time, sell the securities described in this prospectus in one or more offerings. This prospectus includes important information about us, the securities being offered and other information you should know before investing. Any prospectus supplement that we file in connection with any specific offering by us or the Selling Securityholders may also add, update, or change information in this prospectus. If there is any inconsistency between the information contained in this prospectus and any prospectus supplement, you should rely on the information contained in that particular prospectus supplement. You should read this prospectus, any applicable prospectus supplement, together with the additional information about us described in the section below entitled “Where You Can Find More Information About Us” and “Information Incorporated by Reference.” You should rely only on information contained in this prospectus and any applicable prospectus supplement. Neither we nor the Selling Securityholders have authorized anyone to provide you with information different from that contained in this prospectus or any prospectus supplement. The information contained in this prospectus is accurate only as of the date on the front cover of the prospectus. You should not assume that the information contained in this prospectus is accurate as of any other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offer and sell the securities directly to purchasers, through agents selected by the Selling Securityholders, or to or through underwriters or dealers. A prospectus supplement, if required, may describe the terms of the plan of distribution and set forth the names of any agents, underwriters or dealers involved in the sale of securities. See “Plan of Distribution.”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indicated or unless the context otherwise requires,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China” and “PRC” refers to the People’s Republic of China, excluding, for the purposes of this prospectus only, Taiwan, the Hong Kong Special Administrative Region and the Macau Special Administrative Region; however, the legal and operational risks associated with operating in China discussed in this prospectus also apply to operations in the Hong Kong Special Administrative Region and the Macau Special Administrative Region;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RMB” and “Renminbi” refers to the legal currency of China;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shares” and “Ordinary Shares” refers to our ordinary shares, par value US$0.0001 per share;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and “U.S. dollars” refers to the legal currency of the United States of America; and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we,” “us,” “our company,” “our,” and “our group” refers to Baird Medical Investment Holdings Limited, our Cayman Islands holding company, its predecessor entity and its subsidiaries, as the context requires.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that is presented in greater detail elsewhere in this prospectus. This summary does not contain all of the information you should consider before investing in our securities. You should read this entire prospectus carefully, including the sections titled “Risk Factors,” our consolidated financial statements and the related notes, and other information incorporated by reference in this prospectus from our other filings with the SEC, before making an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Business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specialized healthcare innovator dedicated exclusively to thyroid related diseases. By combining extensive clinical understanding with cutting-edge technologies, we aim to transform traditional thyroid treatment through intelligent, non-invasive solutions. Our mission is to build an ecosystem that spans the entire treatment process, spanning from early screening and diagnosis to robotic-assisted ablation and post-treatment care.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strengths lie in our successful development and commercialization of the thyroid microwave ablation system, as well as our active R&amp;D pipeline featuring AI-integrated robotic systems. Our approach integrates hardware innovation, software intelligence and a comprehensive system mindset, positioning us to lead in a highly specialized and globally significant market.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What set us unique are our category focus, our full-stack technology strategy and our proven regulatory and commercial execution. Backed by a vision to deliver safer, faster, and more accurate thyroid care to patients worldwide, we are positioned to become the first global platform company dedicated to precision thyroid health.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Microwave ablation is a minimally invasive treatment technique that denaturalizes and coagulates the protein of tumor cells with extreme heat generated by microwave energy. Microwave ablation treatments have been applied to benign and malignant tumors, and we believe they are safer, less invasive and easier to operate with faster recovery periods and lower complication rates for patients, as compared to traditional treatment methods such as surgery, radiotherapy, interventional radiology, chemotherapy, targeted therapy and immunotherapy. We are not aware of any research suggesting that such traditional treatments can also prevent cancer progression by curbing benign tumors from developing into malignant tumors. The type of tumor treatment depends on the patient’s individual circumstances, including the size and characteristics of the tumor, the desired outcome, and the acceptable cost. Some types of benign tumors have the potential of transforming into malignant ones through a process known as “cancer progression.” Microwave ablation treatments can help to prevent cancer progression by curbing a benign tumor from developing into a malignant tumor, and management believes that patients diagnosed with benign tumors are inclined to seek tumor removal to avoid the risks of cancer progression.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product offerings and pipeline products mainly consist of microwave ablation apparatus and needles. Our product offerings available for sale include microwave ablation apparatus approved for the treatment of live cancer and thyroid nodule, long microwave ablation needles, and fine microwave ablation needles. Currently, we hold two registration certificates for Class III medical devices specifically approved for the treatment of liver cancer and thyroid nodules, and one registration certificate for Class II medical devices in the PRC. Under PRC laws and regulations, Class II medical devices are those with moderate risks and are strictly controlled and administered, and Class III medical devices are those with relatively high risks and are strictly controlled and administered through special measures.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our research and development team, led by our co-chief technical officers, Mr. Rongjian Lu, and our research and development partners, including Nanjing Forestry University and Zhuhai People’s Hospital, we have focused our development efforts on additional types of microwave ablation medical devices to meet market demand, and have also developed a product pipeline to achieve more extensive products offering.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products are ultimately sold to hospitals through direct sales, deliverers, or distributors. Benefiting from our distributors’ established channels and resources, we have been able to cut costs and time in reaching target markets compared to the costs and time required to distribute those products through direct sales. With a network of qualified deliverers, we have been able to sell products to a large group of hospitals. With our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solid and strategically managed network of deliverers and distributors and close collaboration with medical associations and doctors through our sales and marketing efforts, we have seen the number of hospitals in China purchasing our products increase from approximately 430 in 2022 to approximately 614 in 2025, with the number of Grade III hospitals (the highest tier hospitals in China) increasing from approximately 250 in 2022 to approximately 329 in 2025,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had revenue of US$31.5 million, US$37.0 million and US$22.5 million in 2023, 2024 and 2025, respectively. We had net income of US$10.7 million and US$12.6 million and net loss of US$27.5 million in 2023, 2024 and 2025,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 is Room 202, 2/F, Baide Building, Building 11, No. 15, Rongtong Street, Yuexiu District, Guangzhou, People’s Republic of China and its telephone number is +86 20 8218-5926. Our website address is bairdmed.com. The information contained on the website does not form a part of, and is not incorporated by reference into,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diagram depicts a simplified organizational structure of the Company as of the date of this prospectus.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676900" cy="288607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5676900" cy="288607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3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 of Being a Company with the Holding Company Structure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Baird Medical is a Cayman Islands holding company with no material operations of its own. We conduct our operations primarily through our wholly-owned PRC subsidiaries in China. As a result, Baird Medical’s ability to pay dividends to the shareholders and to service any debt we may incur may highly depend upon dividends paid by our PRC subsidiaries, despite that we may obtain financing at the holding company level through other methods. For instance, if any of our PRC subsidiaries incurs debt on its own behalf in the future, the instruments governing such debt may restrict its ability to pay dividends to us and the investors.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PRC laws and regulations, our PRC subsidiaries are permitted to pay dividends only out of their retained earnings, if any, as determined in accordance with PRC accounting standards and regulations. Furthermore, our PRC subsidiaries are required to make appropriations to certain statutory reserve funds or may make appropriations to certain discretionary funds, which are not distributable as cash dividends except in the event of a solvent liquidation of the companies. Remittance of dividends by our PRC subsidiaries out of China is also subject to certain procedures with the banks designated by the PRC State Administration of Foreign Exchange (“SAFE”).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Cash and asset flows through our organization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PRC laws and regulations, we, the Cayman Islands holding company, may fund our PRC subsidiaries only through capital contributions or loans, subject to satisfaction of applicable government registration and approval requirements.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Dividend distribution and taxation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currently intend to retain most, if not all, of our available funds and any future earnings to operate and expand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“passive foreign investment company” rules, the gross amount of any distribution that we make to a U.S. holder with respect to the Ordinary Shares (including any amounts withheld to reflect PRC withholding taxes) will be taxable as a dividend for United States federal income tax purposes, to the extent paid out of our current or accumulated earnings and profits, as determined under United States federal income tax principles. In addition, if we are considered a PRC tax resident enterprise for tax purposes, any dividends we pay to our overseas shareholders may be regarded as China-sourced income and as a result may be subject to PRC withholding tax.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Holding Foreign Companies Accountable Act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HFCAA was enacted on December 18, 2020. Pursuant to the HFCAA and related regulations, if we have filed an audit report issued by a registered public accounting firm that the PCAOB has determined that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2022. The PCAOB Board vacated its previous 2021 determinations that the PCAOB was unable to inspect or investigate completely registered public accounting firms headquartered in mainland China and Hong Kong.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engaged a series of independent registered public accounting firms. We dismissed Marcum Asia and appointed Kreit &amp; Chiu as our independent registered public accounting firm, effective from January 24, 2025. We subsequently dismissed Kreit &amp; Chiu and appointed Guangdong Prouden as our independent registered public accounting firm. Marcum Asia, our former auditor, is an independent public accounting firm registered with the PCAOB. Marcum Asia is headquartered in the United States and is currently subject to PCAOB inspections on a regular basis and was not identified in the determination report made by the PCAOB in 2021. Kreit &amp; Chiu, another former auditor, is an independent public accounting firm registered with the PCAOB, headquartered in New York, and was not identified in the determination report made by the PCAOB on December 16, 2021. Our current auditor, Guangdong Prouden, is an independent registered public accounting firm registered with the PCAOB and is subject to PCAOB inspections on a regular basis. Guangdong Prouden was not identified in the PCAOB’s 2021 determination report as a firm subject to the PCAOB’s determination.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However, whether the PCAOB will re-evaluate its determination as a result of any obstruction with the implementation of the Statement of Protocol in the future is subject to uncertainties and depends on a number of factors out of our and our auditor’s control. The PCAOB continues to demand complete access in mainland China and Hong Kong moving forward and to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in 2024 and beyond, or if we otherwise fail to meet the PCAOB’s requirements, the Ordinary Shares will be delisted from the Nasdaq Stock Market, and Ordinary Shares will not be permitted for trading over the counter in the United States under the HFCAA and related regulations.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Regulatory Matters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CSRC Filing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17, 2023, the CSRC promulgated the Overseas Listing Trial Measures and circulated five supporting guidelines, which became effective on March 31, 2023. The Overseas Listing Trial Measures have comprehensively reformed the prior regulatory regime for overseas offering and listing of PRC domestic companies’ securities and regulate both direct and indirect overseas offering and listing of PRC domestic companies’ securities by adopting a filing-based regulatory regime.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According to the Overseas Listing Trial Measures, PRC domestic companies that seek to offer and list securities in overseas markets, either in direct or indirect means, are required to fulfill the filing procedure with the CSRC and report relevant information. The Overseas Listing Trial Measures provides that an overseas listing or offering is explicitly prohibited, if any of the following: (1) such securities offering and listing is explicitly prohibited by provisions in laws, administrative regulations and relevant state rules; (2) the intended securities offering and listing may endanger national security as reviewed and determined by competent authorities under the State Council in accordance with law; (3)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(4) the domestic company intending to make the securities offering and listing is currently under investigations for suspicion of criminal offenses or major violations of laws and regulations, and no conclusion has yet been made thereof; or (5) there are material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ownership disputes over equity held by the domestic company’s controlling shareholder(s) or by other shareholder(s) that are controlled by the controlling shareholder(s) and/or actual controller.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Overseas Listing Trial Measures also provides that if the issuer meets both the following criteria, the overseas securities offering and listing conducted by such issuer will be deemed as indirect overseas offering by PRC domestic companies: (1) 50% or more of any of the issuer’s operating revenue, total profit, total assets or net assets as documented in its audited consolidated financial statements for the most recent fiscal year is accounted for by domestic companies; and (2)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In addition, the Overseas Listing Trial Measures provides that the direct or indirect overseas listings of the assets of domestic companies through one or more acquisitions, share swaps, transfers or other transaction arrangements shall be subject to filing procedures in accordance with the Overseas Listing Trial Measures, which filing shall be submitted within three business days after the issuer submits its application documents relating to the initial public offering and/or listing or after the first public announcement of the relevant transaction (if the submission of relevant application documents is not required). The Overseas Listing Trial Measures also requires subsequent reports to be filed with the CSRC on material events, such as change of control or voluntary or forced delisting of the issuer(s) who have completed overseas offerings and listings.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Guidance for Application of Regulatory Rules — Overseas Offering and Listing No. 1, promulgated by CSRC together with the Overseas Listing Trial Measures, provides that if a domestic enterprise completes an overseas offering through an overseas special purposes acquisition company, it shall submit the filing materials within three business days after such overseas special purposes acquisition company publicly announces such acquisition transaction. We completed the filing procedures in connection with the Business Combination under the Overseas Listing Trial Measures on January 2, 2024, and the result of such CSRC approval was posted on the official website of the CSRC on the same date. We are not required to complete the CSRC filing procedures and obtain the CSRC approval under the Overseas Listing Trial Measures in connection with the resale of Registered Securities as described in this prospectus, because the resale of Registered Securities, including the Ordinary Shares issuable from the exercise of Warrants, does not involve the issuance of new securities of our Company that have not been previously included in our filing with the CSRC in connection with the Business Combination.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Overseas Listing Trial Measures, we may need to complete filing procedures for future offshore fund-raising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See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24, 2023, the CSRC, the Ministry of Finance, the National Administration of State Secrets Protection and the National Archives Administration released the revised Provisions on Strengthening Confidentiality and Archives Administration of Overseas Securities Offering and Listing by Domestic Companies (the “Archives Rules”), which became effective on March 31, 2023. The Archives Rules regulate both overseas direct offerings and overseas indirect offerings, providing that, among other things: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relation to the overseas listing activities of PRC enterprises, the PRC enterprises are required to strictly comply with the relevant requirements on confidentiality and archives management, establish a sound confidentiality and archives system, and take necessary measures to implement their confidentiality and archives management responsibilities;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course of an overseas offering and listing, if a PRC enterprise needs to publicly disclose or provide to securities companies or securities service providers and overseas regulators, any materials that contain relevant state secrets, government work secrets or information that has a sensitive impact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(i.e., be detrimental to national security or the public interest if divulged), the PRC enterprise should complete the relevant approval/filing and other regulatory procedures; and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working papers produced in the PRC by securities companies and securities service providers, which provide PRC enterprises with securities services during their overseas issuance and listing, should be stored in the PRC, and competent PRC authorities must approve the transmission of all such working papers to recipients outside the PRC. </w:t>
      </w:r>
      <w:r>
        <mc:AlternateContent>
          <mc:Choice Requires="wps">
            <w:drawing>
              <wp:anchor behindDoc="0" distT="7239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failure or perceived failure by us to comply with the Archives Rules and the confidentiality requirements and other PRC laws and regulations may result in us being held legally liable by competent authorities.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Regulatory Licenses for Our Operations in China</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obtained (1) five registration certificates for microwave ablation therapeutic apparatus; (2) a number of registration certificates for microwave ablation needles; and (3) one registration certificate for disposable sterile biopsy needle. On May 25, 2021, we obtained the Manufacture License for Class II and Class III Medical Devices for its existing microwave ablation products in China, which is valid until May 24, 2026. We do not believe that the 2022 Supervisory and Administrative Measures for Production will have a material impact on our business operations because (1) the updates and revisions to the 2022 Supervisory and Administrative Measures for Production do not affect the validity of the production license obtained by us on May 25, 2021, which remains applicable and is sufficient for us to satisfy relevant requirements under the 2022 Supervisory and Administrative Measures for Production, (2) during the process of obtaining the registration certificate for Class III thyroid medical devices, we passed an audit, performed by the National Medical Products Administration and in accordance with the 2022 Supervisory and Administrative Measures for Production, for the period from February 9, 2023, to February 10, 2023, and (3) after obtaining the registration certificate for its single-use sterile biopsy needle product, we applied to add “Class II: 14-01 Injection and Puncture Instruments” to the production scope of the medical device production license, and obtained the updated medical device production license on October 16, 2023 in accordance with the 2022 Supervisory and Administrative Measures for Production. As of the date of this prospectus, we are subject to and in compliance with the 2022 Supervisory and Administrative Measures for Production.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“Item 3. Key Information — D. Risk Factors — Risks Related to Doing Business in China” in our 2025 20-F for details.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and our industry are subject to significant risks. You should carefully consider all of the information set forth in this prospectus and in our other filings with the SEC, including the following risk factors, in evaluating our business. If any of the following risks actually occur, our business, financial condition, results of operations, and growth prospects would likely be materially and adversely affected. This prospectus also contains forward-looking statements that involve risks and uncertainties. See the section entitled “Forward-Looking Statements.”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Risks Related to Our Business and Industry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Risks and uncertainties relating to our business and industry include, but are not limited to, the following: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limited operating history may not be indicative of its future growth and makes it difficult to predict our future prospects, including business and financial performance.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historical operating results may not be representative of future performance.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be unable to obtain, maintain or renew the regulatory filings and registration certificates needed to commercialize its microwave medical devices in a timely manner, or at all.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not be able to maintain or renew all the permits, licenses and certificates required for our business and operations.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fail to maintain or renew its relationship with existing distributors and customers, or maintain our sales network.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sales may be affected by the level of medical insurance reimbursement available to patients using our products. </w:t>
      </w:r>
      <w:r>
        <mc:AlternateContent>
          <mc:Choice Requires="wps">
            <w:drawing>
              <wp:anchor behindDoc="0" distT="0" distB="0" distL="254000" distR="0" simplePos="0" locked="0" layoutInCell="1" allowOverlap="1" relativeHeight="22">
                <wp:simplePos x="0" y="0"/>
                <wp:positionH relativeFrom="column">
                  <wp:align>left</wp:align>
                </wp:positionH>
                <wp:positionV relativeFrom="line">
                  <wp:posOffset>635</wp:posOffset>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Risks Related to Doing Business in China</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face various legal and operational risks and uncertainties related to being based in and having significant operations in China, and therefore are subject to risks associated with doing business in China generally. Risks and uncertainties related to doing business in China could result in a material adverse change in our operations, significantly limit or completely hinder our ability to offer our securities to investors, and cause the value of our securities to significantly decline or become worthless. Such risks and uncertainties include, but not limited to, the following: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Chinese government has significant authority to intervene or influence our operations at any time, and to exert more control over offerings conducted overseas and/or foreign investment in China-based issuers.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 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 and “— The filing with the CSRC may be required in connection with future overseas fund-raising activities, and we cannot predict whether we will be able to obtain such approval or complete such filing” in our 2025 20-F.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securities may be delisted under the HFCAA if the PCAOB is unable to inspect auditors who are located in mainland China and Hong Kong.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subject to impact from PRC economic, political and social conditions, as well as changes in any government policies, laws and regulations.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and “— Adverse changes in economic and political policies of the PRC government could negatively impact China’s overall economic growth, which could materially adversely affect our business” in our 2025 20-F.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subject to uncertainties with respect to the PRC legal system, including such relating to the enforcement of rules and regulations in China and the risk that rules and regulations can change quickly with little advance notice. For details, see “Item 3. Key Information — D. Risk Factors — Risks Related to Doing Business in China — Uncertainties in the interpretation and enforcement of PRC laws, rules and regulations could materially adversely affect our business” in our 2025 20-F.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Risks Related to Our Securities and this Offering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price of our securities may be volatile, and the value of our securities may decline.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Warrants to purchase Ordinary Shares will increase the number of shares eligible for future resale in the public market and result in dilution to our shareholders.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Sales of the Registered Securities, or the perception of such sales, by the Selling Securityholders pursuant to this prospectus in the public market or otherwise could cause the market price for our Ordinary Shares to decline. </w:t>
      </w:r>
      <w:r>
        <mc:AlternateContent>
          <mc:Choice Requires="wps">
            <w:drawing>
              <wp:anchor behindDoc="0" distT="0" distB="0" distL="254000" distR="0" simplePos="0" locked="0" layoutInCell="1" allowOverlap="1" relativeHeight="29">
                <wp:simplePos x="0" y="0"/>
                <wp:positionH relativeFrom="column">
                  <wp:align>left</wp:align>
                </wp:positionH>
                <wp:positionV relativeFrom="line">
                  <wp:posOffset>635</wp:posOffset>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be a foreign private issuer, and as a result, will not be subject to U.S. proxy rules and will be subject to Exchange Act reporting obligations that, to some extent, are more lenient and less frequent than those of a U.S. domestic public company.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Emerging Growth Company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remain an emerging growth company until the earlier of: (1) the last day of the fiscal year (i) following the fifth anniversary of the consummation of the Business Combination, (ii) in which we have total annual gross revenue of at least US$1.235 billion, or (iii) in which we are deemed to be a large accelerated filer, which means the market value of Ordinary Shares that are held by non-affiliates exceeds US$700 million as of the last business day of its most recently completed second fiscal quarter; and (2) the date on which we have issued more than US$1.00 billion in non-convertible debt securities during the prior three-year period. References herein to “emerging growth company” have the meaning associated with it in the JOBS Act.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Foreign Private Issuer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foreign private issuer within the meaning of the rules under the Exchange Act and, as such, we are permitted to follow the corporate governance practices of its home country, the Cayman Islands, in lieu of the corporate governance standards of Nasdaq applicable to U.S. domestic companies. For example, we are not required to have a majority of the board consisting of independent directors nor have a compensation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committee or a nominating and corporate governance committee consisting entirely of independent directors. We intend to follow its home country’s corporate governance practices as long as it remains a foreign private issuer. As a result, our shareholders may not have the same protection afforded to shareholders of U.S. domestic companies that are subject to Nasdaq corporate governance requirements. As a foreign private issuer, we are also subject to reduced disclosure requirements and are exempt from certain provisions of the U.S. securities rules and regulations applicable to U.S. domestic issuers such as the rules regulating solicitation of proxies and certain insider short-swing profit rules.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TOF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121"/>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offering. The “Description of Our Securities” section of this prospectus contains a more detailed description of the Ordinary Shares. </w:t>
      </w:r>
    </w:p>
    <w:p>
      <w:pPr>
        <w:pStyle w:val="TextBody"/>
        <w:bidi w:val="0"/>
        <w:spacing w:lineRule="atLeast" w:line="25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Issuance of Ordinary Shares Pursuant to Exercise of Warrants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issued and outstanding prior to exercise of all Warrants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42,208,763 Ordinary Shares </w:t>
      </w:r>
    </w:p>
    <w:p>
      <w:pPr>
        <w:pStyle w:val="TextBody"/>
        <w:bidi w:val="0"/>
        <w:spacing w:lineRule="atLeast" w:line="25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issuable upon exercise of all Warrants registered herein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11,500,000 Ordinary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receive up to an aggregate of US$132,250,000 from the exercise of all Warrants, assuming the exercise in full of all of the Warrants for cash. The exercise price of the Warrants is US$11.50 per share, subject to adjustment as described herein. The closing price of Ordinary Shares on Nasdaq on August 5, 2026 was US$1.07 per share. The likelihood that warrant holders will exercise the Warrants and any cash proceeds that we would receive is dependent upon the market price of our Ordinary Shares. Based on the closing price for our Ordinary Shares at US$1.07 on August 5, 2026, which is less than the exercise price of US$11.50 per share pursuant to the terms of the Warrants, we believe warrant holders will be unlikely to exercise their Warrants, and we are unlikely to receive proceeds from the exercise of Warrants. To the extent that we receive any net proceeds in connection with the exercise of Warrants, we expect to use such net proceeds for general corporate purposes. See the section titled “Use of Proceeds” appearing elsewhere in this prospectus for more information.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Resale of Ordinary Shares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offered by the Selling Securityholders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34,415,562 Ordinary Shares, consisting of 27,463,627 issued and outstanding Ordinary Shares held by 16 shareholders of Betters Medical, 6,028,406 issued and outstanding Sponsor Shares, 50,000 issued and outstanding Ordinary Shares held by Cohen, 290,000 Ordinary Shares upon conversion of 290,000 GFC Shares in accordance with the terms of the Amended and Restated Articles of Association of the Company, and 583,529 issued and outstanding Ordinary Shares held by Grand Fortune Capital (H.K.) Company Limited.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the securities offered by the Selling Securityholders pursuant to this prospectus will be sold by the Selling Securityholders for their respective accounts. We will not receive any of the proceeds from such sales.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Offering price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securities offered by this prospectus may be offered and sold at prevailing market prices, privately negotiated prices or such other prices as the Selling Securityholders may determine. See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Warrants issued and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outstanding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11,500,000 Warrants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Dividend Policy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never declared or paid any cash dividend on our Ordinary Shares. We currently intend to retain any future earnings and do not expect to pay any dividends in the foreseeable future. Any further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for our Ordinary Shares and Warrants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Ordinary Shares and Warrants are listed on Nasdaq under the trading symbols “BDMD” and “BDMD W,” respectively.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Prospective investors should carefully consider the “Risk Factors” for a discussion of certain factors that should be considered before buying the securities offered hereby.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IODB"/>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3">
        <w:r>
          <w:rPr>
            <w:rStyle w:val="InternetLink"/>
          </w:rPr>
          <w:t>annual report on Form 20-F for the year ended December 31, 2025 filed with the SEC on April 24, 2026</w:t>
        </w:r>
      </w:hyperlink>
      <w:r>
        <w:rPr>
          <w:rFonts w:ascii="Times New Roman;Times;serif" w:hAnsi="Times New Roman;Times;serif"/>
          <w:b w:val="false"/>
          <w:i w:val="false"/>
          <w:caps w:val="false"/>
          <w:smallCaps w:val="false"/>
          <w:color w:val="000000"/>
          <w:spacing w:val="4"/>
          <w:sz w:val="20"/>
        </w:rPr>
        <w:t xml:space="preserve">, as amended by </w:t>
      </w:r>
      <w:hyperlink r:id="rId4">
        <w:r>
          <w:rPr>
            <w:rStyle w:val="InternetLink"/>
          </w:rPr>
          <w:t>Amendment No. 1 on Form 20-F/A filed with the SEC on July 27, 2026</w:t>
        </w:r>
      </w:hyperlink>
      <w:hyperlink r:id="rId5">
        <w:r>
          <w:rPr>
            <w:rStyle w:val="InternetLink"/>
          </w:rPr>
          <w:t>;</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report for the year ended December 31, 2025 filed with the SEC on April 24, 2026, as amended by Amendment No. 1 on Form 20-F/A filed with the SEC on July 27, 2026, contains a description of our business and audited consolidated financial statements with reports by independent auditor. The consolidated financial statements are prepared and presented in accordance with the U.S. GAAP.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Room 202, 2/F, Baide Building, Building 11, No. 15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Rongtong Street, Yuexiu District, Guangzhou, Peoples Republic of China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(86) 20 8218-5926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involve a number of risks, uncertainties and assumptions, and actual results or events may differ materially from those projected or implied in those statements. Important factors that could cause such differences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that have been or may be instituted against us;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maintain the listing of the Ordinary Shares on Nasdaq;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markets are rapidly evolving and may decline or experience limited growth;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and expand our customer base;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effectively in the markets in which we operate;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maintain and enhance our brand;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rapidly changing and increasingly stringent laws, contractual obligations and industry standards relating to our operations; and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matters described in the section titled “Risk Factors.”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and industry data used throughout this prospectus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in the section entitled “Risk Factors” and elsewhere in this prospectus may adversely affect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the securities involves risk. Before investing in any of the securities that may be offered or sold pursuant to this prospectus, you should carefully consider the risk factors and uncertainties described in this section related to this offering, and those under the heading “Item 3. Key Information — D. Risk Factors” in our 2025 20-F, which are incorporated in this prospectus by reference, as updated by our subsequent filings under the Exchange Act, and, if applicable, in any or documents incorporated by reference. These risks and uncertainties could materially affect our business, results of operations or financial condition and cause the value of the securities to decline. You could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Securities and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securities may be volatile, and the value of our securities may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the prices at which our securities will trade. The price of our securities may not bear any relationship to the market price at which our securities traded immediately after the Business Combination or to any other established criteria of the value of our business and prospects, and the market price of our securities may fluctuate substantially and may be lower than the price agreed by ExcelFin and us in connection with the Business Combination. In addition, the trading price of our securities has been and is likely to continue to be volatile, and could fluctuate widely in response to various factors, some of which are beyond its control. The volatility of and fluctuations in the trading price of our Ordinary Shares could cause you to lose all or part of your investment. Factors that could cause fluctuations in the trading price of our securities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fluctuations in our financial condition or results of operations;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variance in our financial performance from expectations of securities analysts;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projected operating and financial results;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or regulations applicable to our business;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by our or our competitors of significant business developments, acquisitions or new offerings;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securities by our shareholders or warrant holders, including the sales of the Registered Securities as described in this prospectus, as well as the anticipation of lockup releases;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breaches of, disruptions to or other incidents involving our information technology systems or those of our business partners;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involvement in material litigation;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or developments affecting the medical technology industry in China;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senior management or key personnel;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volume of our securities;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market conditions; and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events or factors, including those resulting from war, incidents of terrorism, global pandemics or responses to these events.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Warrants to purchase the Ordinary Shares will increase the number of shares eligible for future resale in the public market and result in dilution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Business Combination, outstanding ExcelFin Warrants were assumed by us and converted into corresponding warrants to purchase an aggregate of 11,500,000 Ordinary Shares. The Assumed Public Warrants will expire five years after the completion of the Business Combination. Each Assumed Public Warrant entitles the holder thereof to purchase one Ordinary Share at a price of US$11.50 per whole share, subject to adjustment. The Assumed Public Warrants may be exercised only for a whole number of the Ordinary Shares. To the extent such warrants are exercised, additional Ordinary Shares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issued, which will result in dilution to the then-existing holders of the Ordinary Shares and increase the number of shares eligible for resale in the public market. Sales of substantial numbers of such shares in the public market could adversely affect the market price of the Ordinary Shares. The exclusive forum provision in the amended and restated warrant agreement can result in increased costs to investors to bring a claim.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warrant agreement relating to the Assumed Public Warrants provides that we agree that any action, proceeding or claim against us arising out of or relating in any way to such agreement will be brought and enforced in the courts of the State of New York or the United States District Court for the Southern District of New York, and that we irrevocably submit to such jurisdiction, which jurisdiction will be the exclusive forum for any such action, proceeding or claim. This exclusive forum provision could limit Assumed Public Warrant holders’ ability to obtain what they believe to be a favorable judicial forum for disputes related to the A&amp;R Warrant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we entered into the A&amp;R Warrant Agreement on October 1, 2024, which relates to the Assumed Public Warrants. The A&amp;R Warrant Agreement provides that any action, proceeding or claim against us arising out of or relating in any way to such agreement will be brought and enforced in the courts of the State of New York or the United States District Court for the Southern District of New York, which will be the exclusive forum for any such action, proceeding or claim. This provision will apply to claims under the Securities Act but, as discussed below, will not apply to claims under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27 of the Exchange Act creates exclusive federal jurisdiction over all suits brought to enforce any duty or liability created by the Exchange Act or the rules and regulations thereunder. As a result, the exclusive forum provision in the A&amp;R Warrant Agreement will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A&amp;R Warrant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our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exclusive forum provision in the A&amp;R Warrant Agreement may limit a shareholder’s ability to bring a claim in a judicial forum that it finds favorable for disputes related to the A&amp;R Warrant Agreement, which may discourage such lawsuits against us and our directors or officers. Alternatively, if a court were to find this exclusive forum provision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Warrants may never be in the money, and they may expire worthless.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our Warrants is US$11.50 per share (subject to adjustment as described herein), which exceeds the closing price of the Ordinary Shares of US$1.07 per share on August 5, 2026. The likelihood that warrant holders will exercise the Warrants and any cash proceeds that we would receive is dependent upon the market price of the Ordinary Shares. If the market price for the Ordinary Shares is less than US$11.50 per share, we believe warrant holders will be unlikely to exercise their Warrants, and we are unlikely to receive proceeds from the exercise of Warrants.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redeem your unexpired Assumed Public Warrants prior to their exercise at a time that is disadvantageous to you, thereby making your Assumed Public Warrants worthless.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Closing, we have the ability to redeem the outstanding Assumed Public Warrants at any time after they become exercisable and prior to their expiration, at a price of US$0.01 per warrant, if, among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things, the last reported sale price of the Ordinary Shares equals or exceeds US$18.00 per share (as adjusted for share sub-divisions, share capitalizations, reorganizations, recapitalizations and the like). If and when the Assumed Public Warrants become redeemable, we may exercise such redemption right even if it is unable to register or qualify the underlying securities for sale under all applicable state securities laws. Redemption of the outstanding Assumed Public Warrants as described above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expected to be substantially less than the market value of the Assumed Public Warrants.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the Registered Securities, or the perception of such sales, by the Selling Securityholders pursuant to this prospectus in the public market or otherwise could cause the market price for our Class A Ordinary Shares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of the Registered Securities in the public market or otherwise, including sales pursuant to this prospectus, or the perception that such sales could occur, could increase the volatility of the market price of the Ordinary Shares or result in a significant decline in the public trading price of the Ordinary Shares. These sales, or the possibility that these sales may occur, also might make it more difficult for us to sell equity securities in the future at a time and at a price that we deem appropriate. Resales of the Registered Securities may cause the market price of our securities to drop significantly, even if our business is doing well.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expiration of the applicable lock-up period described in this prospectus and as restrictions on resale end and registration statements are available for use, the market price of the Ordinary Shares could decline if the holders of restricted or locked-up shares sell them or are perceived by the market as intending to sell them. As such, sales of a substantial number of the Ordinary Shares in the public market could occur at any time following the expiration of the applicable lock-up period described in this prospectus. These sales, or the perception in the market that the holders of a large number of Registered Securities intend to sell such shares, could reduce the market price of the Ordinary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potential offer and sale from time to time by the Selling Securityholders of up to 34,415,562 Ordinary Shares, including (1) 27,463,627 issued and outstanding Ordinary Shares held by 16 shareholders of Betters Medical, which were issued to Betters Medical in connection with the Business Combination valued at US$10.20 per share and distributed to the existing shareholders of Betters Medical as a stock dividend through a pro rata distribution in proportion to Betters Medical’s shareholding structure on June 25, 2025; (2) 6,028,406 issued and outstanding Sponsor Shares, comprising (x) 5,750,000 Ordinary Shares exchanged from 5,750,000 ExcelFin Class A Common Stock purchased by the Sponsor at a price of approximately US$0.004 per share; and (y) 278,406 Ordinary Shares converted from the aggregate outstanding balance of certain working capital loans provided to ExcelFin by the Sponsor and its affiliates at a conversion price of US$10.20 per share; (3) 50,000 issued and outstanding Ordinary Shares currently held by Cohen, which were issued to Cohen valued at US$10.00 per share; (4) up to 290,000 Ordinary Shares by GFC upon conversion of 290,000 GFC Shares acquired by GFC in a private placement concurrently with the closing of the Business Combination at US$10.00 per share in accordance with the terms of the Amended and Restated Articles of Association of the Company; and (5) 583,529 issued and outstanding Ordinary Shares currently held by Grand Fortune Capital (H.K.) Company Limited (“Grand Fortune”), which were issued to Grand Fortune valued at US$6.75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lock-up restrictions described in this prospectus under the section titled “Plan of Distribution,” and assuming the Earnout Shares will be vested, the Registered Securities being offered for resale pursuant to this prospectus by the Selling Securityholders include up to 34,415,562 Ordinary Shares, constituting (on a post-exercise basis) approximately 70.9% of our issued and outstanding Ordinary Shares as of the date of this prospectus (assuming the exercise of all of our outstanding Warrants and full conversion of GFC Shares into 290,000 Ordinary Shares). Despite a potential decline in the public trading price of the Ordinary Shares, certain Selling Securityholders may still experience a positive rate of return on the securities that they sell pursuant to this prospectus as they have acquired the securities registered hereunder at prices substantially below current market prices, and may therefore have an incentive to sell their securities. For example, based on the closing price of our Ordinary Shares at US$1.07 on August 5, 2026, the holders of Sponsor Shares may experience a potential profit of up to US$1.066 per share; and certain shareholders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Betters Medical following the Pro Rata Distribution may experience a potential profit of up to US$0.88 per share. The holders of Public Warrants may experience a potential profit on their Warrants if the price of our Ordinary Shares exceeds US$11.50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securityholders who purchased our securities at higher prices than the Selling Securityholders may experience lower rates of return (if any) than the Selling Securityholders, due to differences in purchase price and the potential trading price at which they may be able to sell. Given the substantial number of the Registered Securities for potential resale by the Selling Securityholders pursuant to this prospectus, the sale of the Registered Securities by the Selling Securityholders, or the perception in the market that the Selling Securityholders may or intend to sell all or a significant portion of the Registered Securities, could increase the volatility of the market price of our Ordinary Shares or result in a significant decline in the public trading price of our Ordinary Shares. </w:t>
      </w:r>
    </w:p>
    <w:p>
      <w:pPr>
        <w:pStyle w:val="TextBody"/>
        <w:bidi w:val="0"/>
        <w:spacing w:lineRule="atLeast" w:line="230" w:before="236"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foreign private issuer, and as such are not subject to U.S. proxy rules and will be subject to Exchange Act reporting obligations that, to some extent, are more lenient and less frequent than those of a U.S. domestic public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 among others, (1) the sections of the Exchange Act regulating the solicitation of proxies, consents or authorizations in respect of a security registered under the Exchange Act, (2) the sections of the Exchange Act imposing liability on insiders who profit from trades made in a short period of time, and (3)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As a result of all of the above, you may not have the same protections afforded to shareholders of a company that is not a foreign private issuer. </w:t>
      </w:r>
    </w:p>
    <w:p>
      <w:pPr>
        <w:pStyle w:val="TextBody"/>
        <w:bidi w:val="0"/>
        <w:spacing w:lineRule="atLeast" w:line="230" w:before="236"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securities are listed on the Nasdaq Stock Market. The Nasdaq Stock Market corporate governance listing standards permit a foreign private issuer such as us to follow the corporate governance practices of its home country. Certain corporate governance practices in the Cayman Islands, which is our home country, may differ significantly from the Nasdaq Stock Market corporate governance listing standards.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instance, we are not required to: </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majority of the board be independent; </w:t>
      </w:r>
      <w:r>
        <mc:AlternateContent>
          <mc:Choice Requires="wps">
            <w:drawing>
              <wp:anchor behindDoc="0" distT="5842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compensation committee or a nominations and corporate governance committee consisting entirely of independent directors; or </w:t>
      </w:r>
      <w:r>
        <mc:AlternateContent>
          <mc:Choice Requires="wps">
            <w:drawing>
              <wp:anchor behindDoc="0" distT="482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regularly scheduled executive sessions with only independent directors each year. </w:t>
      </w:r>
      <w:r>
        <mc:AlternateContent>
          <mc:Choice Requires="wps">
            <w:drawing>
              <wp:anchor behindDoc="0" distT="482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have a majority of the board be independent or hold annual meeting of shareholders. We may also continue to rely on this and other exemptions available to foreign private issuers in the future, and to the extent that we choose to do so, our shareholders may be afforded less protection than they otherwise would have under the Nasdaq Stock Market Rules applicable to U.S. domestic issuers. </w:t>
      </w:r>
    </w:p>
    <w:p>
      <w:pPr>
        <w:pStyle w:val="TextBody"/>
        <w:bidi w:val="0"/>
        <w:spacing w:lineRule="atLeast" w:line="230" w:before="234"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limited by shares incorporated under the laws of the Cayman Islands. We conduct a majority of our operations through our PRC subsidiaries. Substantially all of our assets are located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the us or against these individuals outside of the United States in the event that you believe that your rights have been infringed upon under the applicable securities laws or otherwise. Even if you are successful in bringing an action of this kind, the laws of the Cayman Islands and of the PRC could render you unable to enforce a judgment against the relevant assets or the assets of the relevant directors and officers.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corporate affairs are governed by our Amended and Restated Memorandum and Articles of Association, the Companies Act (As Revised) of the Cayman Islands and the common law of the Cayman Islands. The rights of investors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of Cayman Islands exempted companies like us have no general rights under Cayman Islands law to inspect corporate records or to obtain copies of lists of shareholders of these companies (save for the memorandum and articles of association, the register of mortgages and charges, and special resolutions of our shareholders). Our directors have discretion under the Amended and Restated Memorandum and Articles of Association to determine whether or not, and under what conditions, our corporate records may be inspected by our shareholders, but we are not obliged to make them available to the shareholders. This may make it more difficult for you to obtain the information needed to establish any facts necessary for a shareholder’s motion or to solicit proxies from other shareholders in connection with a proxy contest.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 See “— 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Amended and Restated Memorandum and Articles of Association contain certain provisions, including anti- takeover provisions that limit the ability of shareholders to take certain actions and could delay or discourage takeover attempts that shareholders may consider favorable.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and Restated Memorandum and Articles of Association contain provisions that could have the effect of rendering more difficult, delaying, or preventing an acquisition that shareholders may consider favorable, including transactions in which shareholders might otherwise receive a premium for their shares. These provisions could also limit the price that investors might be willing to pay in the future for the Ordinary Shares, and therefore depress the trading price of the Ordinary Shares. These provisions could also make it difficult for shareholders to take certain actions, including electing directors who are not nominated by us or taking other corporate actions, including effecting changes in our management. These provisions, alone or together, could delay or prevent hostile takeovers and changes in control or changes in our board of directors or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market for our securities may not develop or be sustained, which would adversely affect the liquidity and price of our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our securities has fluctuated and may continue to fluctuate significantly due to the market’s reaction to our financial performance, results of operations and general market and economic conditions. A substantial amount of our Ordinary Shares are subject to transfer restrictions following the Business Combination. An active trading market for our securities may not be sustained. In addition, the price of our securities may vary due to general economic conditions and forecasts, our general business condition and the release of its financial reports. Additionally, if our securities are delisted from the Nasdaq Stock Market and are quoted on over-the-counter market, the liquidity and price of our securities may be more limited than if our securities were quoted or listed on the Nasdaq Stock Market or another national securities exchange. You may be unable to sell your securities unless a market can be established or sustained.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or cease publishing research or reports about us, our business, our market or competitors, or if they change their recommendations regarding our securities adversely, the price and trading volume of our securities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securities will be influenced by the research and reports that industry or securities analysts may publish about us, our business, our market or competitors. If any of the analysts who may cover us change their recommendation regarding our securities adversely, or provide more favorable relative recommendations about our competitors, the price of our securities would likely decline. If any analyst who may cover us were to cease their coverage or fail to regularly publish reports on us, we could lose visibility in the financial markets, which could cause the price or trading volume of our securities to decline.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disclosure requirements to be adopted by and regulatory scrutiny from the SEC in response to risks related to companies with substantial operations in China could increase our compliance costs, subject it to additional disclosure requirements, and/or suspend or terminate our future securities offerings, resulting in difficulties in our capital-raising efforts.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2021, in response to the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we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resulting in difficulties in our capital-raising efforts.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additional share capital in connection with financings, acquisitions, investments, our equity incentive plans or otherwise will dilute all other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issue additional share capital in the future that will result in dilution to all other shareholders. We also expect to grant equity awards to key employees under the 2024 Equity Incentive Plan. We may also raise capital through equity financings in the future. As part of our business strategy, we may acquire or make investments in companies, solutions or technologies and issue equity securities to pay for any such acquisition or investment. Any such issuances of the additional share capital may cause shareholders to experience significant dilution of their ownership interests and the per share value of the Ordinary Shares to decline.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do not intend to pay dividends before we become profitable, and as a result, your ability to achieve a return on your investment in the foreseeable future will depend on appreciation in the price of the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pay any cash dividends before we become profitable, which may not occur in the foreseeable future. Any determination to pay dividends in the future will be at the discretion of our board of directors. Accordingly, you may need to rely on sales of the Ordinary Shares after price appreciation, which may never occur, as the only way to realize any future gains on your investment. </w:t>
      </w:r>
    </w:p>
    <w:p>
      <w:pPr>
        <w:pStyle w:val="TextBody"/>
        <w:bidi w:val="0"/>
        <w:spacing w:lineRule="atLeast" w:line="230" w:before="228"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the reduced reporting and disclosure requirements applicable to emerging growth companies may make our securities less attractive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JOBS Act, and we may take advantage of certain exemptions from various reporting requirements that are applicable to other public companies that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“emerging growth companies,” including the auditor attestation requirements of Section 404 of the Sarbanes-Oxley Act, disclosure obligations regarding executive compensation in our periodic reports and proxy statements, and the requirements of holding a nonbinding advisory vote on executive compensation and shareholder approval of any golden parachute payments not previously approved.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do not intend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remain an emerging growth company until the earlier of: (1) the last day of the fiscal year (i) following the fifth anniversary of the consummation of the Business Combination, (ii) in which we have total annual gross revenue of at least US$1.235 billion, or (iii) in which we are deemed to be a large accelerated filer, which means the market value of our common equity that is held by non-affiliates exceeds US$700 million as of the last business day of its most recently completed second fiscal quarter; and (2) the date on which we have issued more than US$1.00 billion in non-convertible debt securities during the prior three-year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find our securities less attractive, and there may be a less active trading market for our securities, and the price of such securities may be more volatile.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We will incur increased costs as a result of operating as a public company, and our management will be required to devote substantial time to comply with a public company’s responsibilities and corporate governance practices.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public company, we will incur significant legal, accounting and other expenses, which we expect to further increase after we are no longer an “emerging growth company.” The Sarbanes-Oxley Act, the Dodd-Frank Wall Street Reform and Consumer Protection Act, the continued listing requirements of Nasdaq,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past, shareholders of some public companies brought securities class action suits against these companies following periods of instability in the market price of these companies’ securities. Our involvement in a class action suit could divert a significant amount of our management’s attention and other resources from our business, which could harm our results of operations and require us to incur significant expenses to defend the suit.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class action suit, whether or not successful, could harm our reputation and restrict our ability to raise capital in the future. In addition, if a claim is successfully made against us, we may be required to pay significant damages, which could materially adversely affect our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are characterized as a passive foreign investment company (“PFIC”) for U.S. federal income tax purposes, U.S. holders may experience adverse U.S. federal income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For purposes of making these determinations, a company is generally treated as directly earning a pro rata share of the income (and directly owning a pro rata share of the assets) of any entity in which it is considered to own at least 25%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by value. The determination of whether we will be treated as a PFIC for the current taxable year will depend on a number of factors, including the amount of cash held by ExcelFin and Betters Medical and its subsidiaries, among others. Accordingly, there can be no assurances in this regard or any assurances that we will not be treated as a PFIC in the current taxable year or any future taxable year. Moreover, the application of the PFIC rules is subject to uncertainty in several respects, and there can be no assurance that the Internal Revenue Service (the “IRS”) will not take a contrary position or that a court will not sustain such a challenge by the IRS.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or any of our subsidiaries are a PFIC for any taxable year is a factual determination that depends on, among other things, the composition of its income and assets, and the market value of its securities. Changes in our composition, the composition of our income or the composition of its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 If we are a PFIC for any taxable year, a U.S. holder of our securities may be subject to adverse tax consequences and may incur certain information reporting obligations.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IRS may not agree that we (i) should be treated as a non-U.S. corporation for U.S. federal income tax purposes and (ii) should not be treated as a “surrogate foreign corporation” for U.S. federal income tax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U.S. federal income tax purposes, a corporation generally is considered to be a tax resident in the jurisdiction of its organization or incorporation. Accordingly, under generally applicable U.S. federal income tax rules, we would be classified as a non-U.S. corporation (and, therefore, we would not be a U.S. tax resident) for U.S. federal income tax purposes because we are incorporated under the laws of the Cayman Islands. Section 7874 of the Code provides an exception to this general rule under which a non-U.S. incorporated entity may, in certain circumstances, be treated as a U.S. corporation for U.S. federal income tax purposes. If we were to be treated as a U.S. corporation for U.S. federal income tax purposes, we could be subject to substantial liability for additional U.S. income taxes, and the gross amount of any dividend payments to our non-U.S. holders could be subject to U.S. withholding tax. In addition, even if we are not treated as a U.S. corporation, we may be subject to unfavorable treatment as a “surrogate foreign corporation” in the event that ownership attributable to former ExcelFin stockholders exceeds a threshold amount. If it were determined that we are treated as a surrogate foreign corporation for U.S. federal income tax purposes under Section 7874 of the Code and the Treasury regulations promulgated thereunder, dividends by us would not qualify for “qualified dividend income” treatment, redemptions made by us of our stock would be subject to an excise tax of 1% of the fair market value of such stock under Section 4501 of the Code, and our U.S. affiliates after the completion of the First Merger could be subject to increased taxation under the inversion gain rules and Section 59A of the Code.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currently expect to be treated as a U.S. corporation for U.S. federal income tax purposes or otherwise be subject to unfavorable treatment as a surrogate foreign corporation for U.S. federal income tax purposes. However, the rules for determining ownership under Section 7874 of the Code are complex and unclear. Accordingly, there can be no assurance that the IRS will not take the position that Section 7874 of the Code applied to the First Merger or that a court will not agree with such a position of the IRS in the event of litigation.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 U.S. holder is treated as owning at least 10% of our ordinary shares, such U.S. holder may be subject to adverse United States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is treated as owning, directly, indirectly or constructively, at least 10% of the value or voting power of our Ordinary Shares, such U.S. holder may be treated as a “United States shareholder” with respect to each “controlled foreign corporation” in our group, if any. Generally, a non-United States corporation is deemed as a controlled foreign corporation if more than 50% of its stock (by voting power or value) of is owned (directly, indirectly or constructively) by United States shareholders. We will generally be classified as a controlled foreign corporation if more than 50% of our outstanding shares, measured by reference to voting power or value, are owned (directly, indirectly or by attribution) by United States shareholders. Although we are not likely to be a controlled foreign corporation, because our group includes United States subsidiaries, certain of our non-United States subsidiaries will likely be treated as controlled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corporations. We cannot provide any assurances that we will assist our investors in determining whether any of our non-United States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its reporting and tax paying obligations as a result. U.S. holders should consult their tax advisors regarding the potential application of these rules to their investment in our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receive proceeds of up to an aggregate of US$132,250,000 from the exercise of the Warrants if all of the Warrants are exercised for cash. We expect to use the net proceeds from the exercise of Warrants for general corporate purposes. There is no assurance that the holders of the Warrants will elect to exercise any or all of such Warrants or that they will exercise any or all of them for cash. The amount of cash we would receive from the exercise of the Warrants will decrease to the extent that Warrants are exercised on a cashless basis.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proceeds from any sale of the securities registered hereby by the Selling Securityholders. With respect to the registration of the securities being offered by the Selling Securityholders, the Selling Securityholders will pay any underwriting discounts and commissions incurred by them in disposing of such securities, and fees and expenses of legal counsel representing the Selling Securityholders. We have borne all other costs, fees and expenses incurred in effecting the registration of the Registered Securities, such as registration and filing fees and fees of our counsel and our independent registered public accountants.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O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Baird Medical is a Cayman Islands exempted company and our affairs are governed by our memorandum and articles of association, as amended from time to time, and the Companies Act (As Revised) of the Cayman Islands, which is referred to as the Companies Act (As Revised) below, and the common law of Cayman Islands. The following are summaries of certain material provisions of our Amended and Restated Memorandum and Articles of Association (the “Articles”), attached as an exhibit to prospectus. You are encouraged to read the relevant provisions of the Companies Act (As Revised) and the Articles as they relate to the following summary.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our authorized share capital is US$50,500 divided into 505,000,000 shares of a nominal or par value of US$0.0001 each, consisting of two share classes as follows: (i) 500,000,000 ordinary shares of a nominal or par value of US$0.0001 each (the “Ordinary Shares”) and (ii) 5,000,000 series A convertible preferred shares of a nominal or par value of US$0.0001 each (the “Series A Preferred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we had 42,208,763 Ordinary Shares and 290,000 Series A Preferred Shares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issued Ordinary Shares are fully paid and non-assessable. The Ordinary Shares are issued in registered form, and are issued when registered in our register of members. Our shareholders who are non-residents of the Cayman Islands may freely hold and vote their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Ordinary Shares are entitled to such dividends as may be declared by our board of directors. Under Cayman Islands law, dividends may be declared and paid out of funds legally available therefor, namely out of profit or share premium, provided that in no circumstances may we pay a dividend out of share premium if this would result in us being unable to pay our debts as they fall due in the ordinary course of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Register of Members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we must keep a register of members and there will be entered therein: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the members with a statement of the shares held by each member, and the statement shall (i) distinguish each share by its number (so long as the share has a number); (ii) confirm the amount paid or agreed to be considered as paid on the shares of each member; (iii) confirm the number and category of shares held by each member; (iv) confirm whether each relevant category of shares held by a member carries voting rights under the Articles, and if so, whether such voting rights are conditional;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name of any person was entered on the register as a member; and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any person ceased to be a member.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our register of members is prima facie evidence of any matters by the Companies Act (As Revised) directed or authorized to be inserted therein.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Ordinary Share shall be entitled to one vote per Ordinary Share. Each holder of Series A Preferred Shares shall be entitled to no voting right.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at any meeting of our shareholders is by show of hands unless a poll is demanded. A poll may be demanded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chairperson of such meeting;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 least three shareholders present in person or by proxy or (in the case of a shareholder being a corporation) by its duly authorized representative for the time being entitled to vote at the meeting;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shareholder(s) present in person or by proxy or (in the case of a shareholder being a corporation) by its duly authorized representative representing not less than one-tenth of the total voting rights of all shareholders having the right to vote at the meeting; and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shareholder(s) present in person or by proxy or (in the case of a shareholder being a corporation) by its duly authorized representative and holding our shares conferring a right to vote at the meeting being shares on which an aggregate sum has been paid up equal to not less than one-tenth of the total sum paid up on all shares conferring that right.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ordinary resolution to be passed at a meeting by our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the Articles, a reduction of share capital and the winding up of Baird Medical, our shareholders may, among other things, divide or combine their shares by ordinary resolution.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 Meetings of Shareholders</w:t>
      </w:r>
      <w:r>
        <w:rPr>
          <w:rFonts w:ascii="Times New Roman;Times;serif" w:hAnsi="Times New Roman;Times;serif"/>
          <w:b w:val="false"/>
          <w:i w:val="false"/>
          <w:caps w:val="false"/>
          <w:smallCaps w:val="false"/>
          <w:color w:val="000000"/>
          <w:spacing w:val="4"/>
          <w:sz w:val="20"/>
        </w:rPr>
        <w:t xml:space="preserve">.   As a Cayman Islands exempted company, we are not obliged by the Companies Act (As Revised) to call shareholders’ annual general meetings. The Articles provide that we shall, if required by the Companies Act (As Revised), in each year hold a general meeting as our annual general meeting, and shall specify the meeting as such in the notices calling it. An annual general meeting shall be held at such time and place as may be determined by our directors in accordance with the rules of Nasdaq, unless Nasdaq does not require the holding of an annual general meeting. General meetings, including annual general meetings, may be held at such times and in any location in the world as may be determined by our board of directors. A general meeting or any class meeting may also be held by means of such telephone, electronic or other communication facilities as to permit all persons participating in the meeting to communicate with each other, and participation in such a meeting constitutes presence at such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general meetings may be convened by the chairperson of the board of directors or by a majority of our board of directors. Advance notice of not more than sixty nor less than ten clear days is required for the convening of an annual general shareholders’ meeting (if any) and any other general meeting of shareholders. A quorum required for any general meeting of shareholders consists of two shareholders entitled to vote and present in person or by proxy or (in the case of a shareholder being a corporation) by its duly authorized representative representing not less than one-third in nominal value of our total issued voting shares throughout the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(As Revised) does not provide shareholders with any right to requisition a general meeting or to put any proposal before a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as set out in the Articles, our shareholders may transfer all or any of his or her Ordinary Shares by an instrument of transfer in the usual or common form or in a form prescribed by Nasdaq, the SEC and/or any competent regulatory authority or any other form approved by our board of directors. Notwithstanding the foregoing, Ordinary Shares may also be transferred in accordance with the applicable rules and regulations of Nasdaq, the SEC and/or any competent regulatory authority.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decline to register any transfer of any Ordinary Share unless: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lodged with us, accompanied by the certificate (if any) for the Ordinary Shares to which it relates and such other evidence as our board of directors may reasonably require to show the right of the transferor to make the transfer;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in respect of only one class of shares;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properly stamped, if required;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transfer to joint holders, the number of joint holders to whom the Ordinary Shares is to be transferred does not exceed four; and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fee of such maximum sum as the Nasdaq may determine to be payable or such lesser sum as our directors may from time to time require is paid to us in respect thereof.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shares in question were issued in conjunction with rights, options and warrants issued pursuant to the Articles on terms that one cannot be transferred without the other, our board of directors shall refuse to register the transfer of any such shares without evidence satisfactory to them of the like transfer of such right, option or warrant.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directors refuse to register a transfer they shall, within two months after the date on which the instrument of transfer was lodged, send to each of the transferor and the transferee notice of such refusal.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of transfers may, after compliance with any notice required in accordance with the rules of Nasdaq, the SEC and/or any other competent regulatory authority be suspended and the register of members closed for transfer at such times and for such periods as our board of directors may from time to time determine; provided, however, that the registration of transfers shall not be suspended nor the register closed for transfer for more than 40 days in any year as the board may determine. The period of forty (40) days may be extended for a further period or periods not exceeding forty (40) days in respect of any year if approved by the shareholders by ordinary resolution.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winding up of Baird Medical, if the assets available for distribution among our shareholders shall be more than sufficient to repay the whole of the share capital at the commencement of the winding up, the surplus will be distributed among our shareholders in proportion to the par value of the shares held by them at the commencement of the winding up, subject to a deduction from those shares in respect of which there are monies due, of all monies payable to us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Calls on Ordinary Shares and Forfeiture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from time to time make calls upon shareholders for any amounts unpaid on their Ordinary Shares in a notice served to such shareholders at least 14 days prior to the specified time of payment. The shares that have been called upon and remain unpaid are subject to forfeiture.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Repurchase and Surrender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shares on terms that such shares are subject to redemption, at our option or at the option of the holders, on such terms and in such manner as may be determined, before the issue of such shares, by our board of directors. We may also repurchase any of our shares provided that the manner and terms of such purchase have been agreed between the board of directors and the relevant shareholder or are otherwise authorized by the Articles. Under the Companies Act (As Revised), the redemption or repurchase of any share may be paid out of our profits, share premium or out of the proceeds of a fresh issue of shares made for the purpose of such redemption or repurchase, or out of capital if we can, immediately following such payment, pay our debts as they fall due in the ordinary course of business. In addition, under the Companies Act (As Revised) no such share may be redeemed or repurchased (a) unless it is fully paid up, (b) if such redemption or repurchase would result in there being no shares outstanding, or (c) if the company has commenced liquidation. In addition, we may accept the surrender of any fully paid share for no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Variations of Rights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our capital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of that class. The necessary quorum (whether at a separate general meeting or at its adjourned meeting) shall be a person or persons or (in the case of a shareholder being a corporation) its duly authorized representative together holding or representing by proxy not less than one-third in nominal value or par value of the issued shares of that class (but so that if at any adjourned meeting of such holders a quorum as above defined is not present, those shareholders who are present shall form a quorum (whatever the number of shares held by them)).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such existing class of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as set out in the Articles, we may from time to time by ordinary resolution: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share capital by such sum, to be divided into shares of such classes and amount, as the resolution shall prescribe;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 and divide all or any of our share capital into shares of a larger amount than our existing shares;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 our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in general meeting, as the directors may determine;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sub-divide our existing shares, or any of them into shares of a smaller amount that is fixed by our memorandum of association; and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any shares which, at the date of the passing of the resolution, have not been taken or agreed to be taken by any person and diminish the amount of our share capital by the amount of the shares so cancelled.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Companies Act (As Revised) and confirmation by the Grand Court of the Cayman Islands on an application by us for an order confirming such reduction, we may by special resolution reduce our share capital, any capital redemption reserve or other undistributable reserves in any manner authorized by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Issuance of Additional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as set out in the Articles, the Articles authorize our board of directors to issue additional ordinary shares from time to time as our board of directors shall determine, to the extent of available authorized but unissued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Appointment and Removal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our board of directors shall initially consist of up to seven directors, who shall be appointed to the board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one of which (the “Sponsor Director”) shall be appointed by the Sponsor by written notice to our company (without further resolutions of the board or the shareholders), provided, that the right of Sponsor to appoint the Sponsor Director shall terminate on the date Sponsor ceases to beneficially own at least 25% of the shares held by Sponsor as of the closing date of the Business Combination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four of which (collectively, the “Betters Directors”) shall be appointed by Betters Medical (or its affiliates) by written notice to our company (without further resolutions of the board or the shareholders), provided, that the number of Betters Directors that Betters Medical shall be entitled to appoint shall increase or decrease, as applicable, in proportion to the number of shares beneficially owned by Betters Medical (or its affiliates) divided by the total number of shares issued and outstanding, rounded down to the nearest whole number of directors;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two of which shall be nominated and elected in accordance with the terms of the Articles.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above, we may by ordinary resolution of shareholders elect any person to be a director either to fill a casual vacancy or as an addition to the existing board; and our directors shall have the power from time to time and at any time to appoint any person as a director to fill a casual vacancy on the board or as an addition to the existing board subject to compliance with director nomination procedures required under the rules and regulations of Nasdaq, the SEC and/or any other competent regulatory authority as long as shares are listed on Nasdaq, unless the board resolves to follow any available exceptions or exemptions.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a director (other than the Sponsor Director and any of the Betters Directors) may be removed by way of an ordinary resolution of shareholders at any time before the expiration of his period of office notwithstanding anything in the Articles or in any agreement between our company and such director. Notwithstanding the foregoing, the Sponsor Director may be removed by the Sponsor and the Betters Directors may be removed by Betters Medical (or its affiliates), in each case, by written notice to our company.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us;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the number of directors to be appointed to the board may only be increased or decreased upon the mutual written agreement of Betters Medical and the Sponsor; provided, that no reduction in the authorized number of directors shall have the effect of removing any director before that director’s term of office expires.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Inspection of Books and Records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Ordinary Shares have no general right under Cayman Islands law to inspect or obtain copies of a list of our shareholders or our corporate records. However, the Articles provide our shareholders with the right to inspect our register of shareholders without charge and to receive our annual audited financial statements. See “Where You Can Find Additional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the Articles may discourage, delay or prevent a change of control in our company or management that shareholders may consider favorable, including provisions that: </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specifically provide for the Sponsor’s and Betters Medical’s right to appoint and/or remove the Sponsor Director and the Betters Directors (as the case may be) without further approval from the shareholders; and </w:t>
      </w:r>
      <w:r>
        <mc:AlternateContent>
          <mc:Choice Requires="wps">
            <w:drawing>
              <wp:anchor behindDoc="0" distT="10033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the ability of shareholders to requisition and convene general meetings of shareholder. </w:t>
      </w:r>
      <w:r>
        <mc:AlternateContent>
          <mc:Choice Requires="wps">
            <w:drawing>
              <wp:anchor behindDoc="0" distT="10033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Articles and Cayman Islands law also require a special resolution to amend the Articles. Such requirement may prevent our shareholders from effecting a change of our management and/or removing provisions in our constitutional documents that may have an anti-takeover effect.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consummation of the Business Combination, each warrants of ExcelFin outstanding immediately prior to the Effective Time ceased to be a warrant with respect to ExcelFin Common Stock and was assumed by us and converted into an Assumed Public Warrant entitling the holder thereof to 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Ordinary Share. Each Assumed Public Warrant otherwise continues to have and be subject to substantially the same terms and conditions as were applicable to such ExcelFin Warrant immediately prior to the consummation of the Business Combination (including any repurchase rights and cashless exercise provisions), as set forth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Public Stockholders’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whole public warrant entitles the registered holder to purchase one share of our Ordinary Share at a price of US$11.50 per share, subject to adjustment as discussed below. Pursuant to the public warrant agreement, a public warrant holder may exercise public warrants only for a whole number of Ordinary Shares. This means only a whole public warrant may be exercised at a given time by a public warrant holder. No fractional public warrants will be issued upon separation of the units and only whole public warrants will trade. The public warrants will expire five years after the completion of the Business Combination, at 5:00 p.m., New York City time, or earlier upon redemption or liquidation.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obligated to deliver any Ordinary Shares pursuant to the exercise of a public warrant and will have no obligation to settle such public warrant exercise unless a registration statement under the Securities Act covering the issuance of the Ordinary Shares issuable upon exercise of the public warrants is then effective and a current prospectus relating to those Ordinary Shares is available,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Ordinary Share underlying such unit.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as soon as practicable, but in no event later than 20 business days after the closing of the Business Combination, we will use our reasonable best efforts to file with the SEC, and within 60 business days following the Business Combination to have declared effective, a registration statement covering the issuance of the shares of Ordinary Shares issuable upon exercise of the public warrants and to maintain a current prospectus relating to those Ordinary Shares until the public warrants expire or are redeemed. Notwithstanding the above, if our Ordinary Shares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any action, proceeding or claim against us arising out of or relating in any way to the public warrant agreement will be brought and enforced in the courts of the City of New York, County of New York, State of New York, the United States District Court for the Southern District of New York or the federal district courts of the United States, and we irrevocably submit to such jurisdiction, which jurisdiction will be the exclusive forum for any such action, proceeding or claim. However, the enforceability of similar exclusive forum provisions (including exclusive forum provisions for actions, suits or proceedings asserting a cause of action arising under the Securities Act or the Exchange Act) in other companies’ organizational documents has been challenged in legal proceeds, and there is uncertainty as to whether courts would enforce the exclusive forum provisions in our public warrant agreement. Notwithstanding the foregoing, these provisions of the public warrant agreement will not apply to suits brought to enforce any liability or duty created by the Securities Act, Exchange Act or any other claim for which the federal district courts of the United States of America shall be the sole and exclusive forum. Any person or entity purchasing or otherwise acquiring any interest in any of our warrants shall be deemed to have notice of and to have consented to the forum provisions in our warrant agreements. Additionally, our stockholders cannot waive compliance with the federal securities laws and the rules and regulations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of Public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the public warrants become exercisable, we may call the public warrants for redemption: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239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US$0.01 per public warrant; </w:t>
      </w:r>
      <w:r>
        <mc:AlternateContent>
          <mc:Choice Requires="wps">
            <w:drawing>
              <wp:anchor behindDoc="0" distT="7239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minimum of 30 days’ prior written notice of redemption, or the 30-day redemption period, to each public warrant holder; and </w:t>
      </w:r>
      <w:r>
        <mc:AlternateContent>
          <mc:Choice Requires="wps">
            <w:drawing>
              <wp:anchor behindDoc="0" distT="7239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last reported sale price of the Ordinary Shares has been at least US$18.00 per share (as adjusted for stock splits, stock dividends, reorganizations, recapitalizations and the like) for any ten (10) trading days within the twenty (20) trading-day period ending on the third (3rd) trading day prior to the date on which the notice of redemption is given to the public warrant holders. </w:t>
      </w:r>
      <w:r>
        <mc:AlternateContent>
          <mc:Choice Requires="wps">
            <w:drawing>
              <wp:anchor behindDoc="0" distT="7239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when the public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Ordinary Shares may fall below the US$18.00 redemption trigger price as well as the US$11.50 public warrant exercise price after the redemption notice is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Procedures and Cashless Exercise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call the public warrants for redemption as described above, our management will have the option to require all holders that wish to exercise public warrants to do so on a “cashless basis.” In determining whether to require all holders to exercise their warrants on a “cashless basis,” our management will consider, among other factors, our cash position, the number of public warrants that are outstanding and the dilutive effect on our shareholders of issuing the maximum number of Ordinary Shares issuable upon the exercise of our warrants. In such event, each holder would pay the exercise price by surrendering the public warrants for that number of Ordinary Shares equal to the quotient obtained by dividing (x) the product of the number of Ordinary Shares underlying the public warrants, multiplied by the excess of the “fair market value”(as defined below) of the Ordinary Shares over the exercise price of the public warrants by (y) the “fair market value.” For purposes of this paragraph, the “fair market value” means the volume-weighted last reported price of the Ordinary Shares as reported for the ten (10) trading days ending on the third (3rd) trading day prior to the date on which the notice of redemption is sent to the holder of the public warrants or its securities broker or intermediary, pursuant to the public warrant agreement. If our management takes advantage of this option, the notice of redemption will contain the information necessary to calculate the number of Ordinary Shares to be received upon exercise of the public warrants, including the “fair market value” in such case. Requiring a cashless exercise in this manner will reduce the number of shares to be issued and thereby lessen the dilutive effect of a public warrant redemption.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outstanding immediately after giving effect to such exercise.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Anti-Dilution Adjustments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Ordinary Shares is increased by a stock dividend payable in the Ordinary Shares, or by a split-up of shares of Ordinary Shares or other similar event, then, on the effective date of such stock dividend, split-up or similar event, the number of Ordinary Shares issuable on exercise of each public warrant will be increased in proportion to such increase in the outstanding Ordinary Shares. A rights offering to holders of Ordinary Shares entitling holders to purchase Ordinary Shares at a price less than the “historical fair market value” ​(as defined below) will be deemed a stock dividend of a number of Ordinary Shares equal to the product of (1) the number of Ordinary Shares actually sold in such rights offering (or issuable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equity securities sold in such rights offering that are convertible into or exercisable for Ordinary Shares) multiplied by (2) one minus the quotient of (x) the price per share of Ordinary Shares paid in such rights offering divided by (y) the historical fair market value. For these purposes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For purposes of this paragraph, “historical fair market value” means the volume-weighted average price of the Ordinary Shares during the ten trading day period ending on the trading day prior to the first date on which the Ordinary Shares trade on the applicable exchange or in the applicable market, regular way, without the right to receive such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no shares of Ordinary Shares shall be issued at less than their par value.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public warrants are outstanding and unexpired, pay a dividend or make a distribution in cash, securities or other assets to the holders of Ordinary Shares on account of such shares of Ordinary Shares (or other shares of our capital stock into which the public warrants are convertible), other than (a) as described above, (b) certain ordinary cash dividends, then the exercise price of a public warrant will be decreased, effective immediately after the effective date of such event, by the amount of cash and/or the fair market value of any securities or other assets paid on each share of Ordinary Shares in respect of such event.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shares of our Ordinary Shares is decreased by a consolidation, combination, reverse stock split or reclassification of shares of Ordinary Shares or other similar event, then, on the effective date of such consolidation, combination, reverse stock split, reclassification or similar event, the number of Ordinary Shares issuable on exercise of each public warrant will be decreased in proportion to such decrease in outstanding Ordinary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Ordinary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Ordinary Shares purchasable upon the exercise of the public warrants immediately prior to such adjustment and (y) the denominator of which will be the number of Ordinary Shares so purchasable immediately thereafter.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(x) we issue additional Ordinary Shares or equity-linked securities for capital raising purposes in connection with the closing of the Business Combination at a newly issued price of less than US$9.20 per Ordinary Share (with such newly issued price to be determined in good faith by our board of directors), (y) the aggregate gross proceeds from such issuances represent more than 60% of the total equity proceeds, and interest thereon, available for the funding of the Business Combination on the date of the consummation of the Business Combination (net of redemptions), and (z) the volume weighted average trading price of Ordinary Shares during the 20 trading day period starting on the trading day prior to the day on which we consummate the Business Combination is below US$9.20 per share, then the exercise price of the public warrants will be adjusted (to the nearest cent) to be equal to 115% of the greater of the volume weighted average trading price of Ordinary Shares during the 20 trading day period starting on the trading day prior to the day on which we consummate the Business Combination and the newly issued price and the US$18.00 per share redemption trigger price described under “Redemption of public warrants” above will be adjusted (to the nearest cent) to be equal to 180% of the greater of the volume weighted average trading price of Ordinary Shares during the 20 trading day period starting on the trading day prior to the day on which we consummate the Business Combination and the newly issued price.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outstanding Ordinary Shares),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Ordinary Shares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public warrant exercise price will be reduced as specified in the public warrant agreement based on the per share consideration minus Black-Scholes Warrant Value (as defined in the public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 in order to determine and realize the option value component of the warrant. This formula is to compensate the public warrant holder for the loss of the option value portion of the public warrant due to the requirement that the public warrant holder exercise the public warrant within 30 days of the event. The Black-Scholes model is an accepted pricing model for estimating fair market value where no quoted market price for an instrument is available.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have been issued in registered form under the public warrant agreement between American Stock Transfer &amp; Trust Company, LLC, as warrant agent, and us. The public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other modification or amendment, including any modification or amendment to increase the exercise price of the public warrants or shorten the exercise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Ordinary Shares and any voting rights until they exercise their public warrants and receive the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Transfer Agent and Warrant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for our Ordinary Shares and warrant agent for our warrants is American Stock Transfer &amp; Trust Company, LLC. We have agreed to indemnify American Stock Transfer &amp; Trust Company, LLC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Differences in Corporate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(As Revised) is derived, to a large extent, from the older Companies Acts of England but does not follow recent English statutory enactments and, accordingly, there are significant differences between the Companies Act (As Revised) and the current Companies Act of England. In addition, the Companies Act (As Revised) differs from laws applicable to U.S. corporations and their shareholders. Set forth below is a summary of certain significant differences between the provisions of the Companies Act (As Revised) applicable to us and the laws applicable to companies incorporated in the United States and their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296"/>
        <w:gridCol w:w="109"/>
        <w:gridCol w:w="109"/>
        <w:gridCol w:w="4333"/>
        <w:gridCol w:w="109"/>
        <w:gridCol w:w="109"/>
        <w:gridCol w:w="246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33"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6" w:type="dxa"/>
            <w:tcBorders/>
            <w:tcMar>
              <w:bottom w:w="0" w:type="dxa"/>
            </w:tcMar>
            <w:vAlign w:val="center"/>
          </w:tcPr>
          <w:p>
            <w:pPr>
              <w:pStyle w:val="TableContents"/>
              <w:bidi w:val="0"/>
              <w:spacing w:before="0" w:after="0"/>
              <w:ind w:left="200" w:right="0" w:hanging="200"/>
              <w:jc w:val="left"/>
              <w:rPr>
                <w:b/>
                <w:i/>
              </w:rPr>
            </w:pPr>
            <w:r>
              <w:rPr>
                <w:b/>
                <w:i/>
                <w:spacing w:val="-4"/>
              </w:rPr>
              <w:t>Mergers and Similar Arrangements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both"/>
              <w:rPr>
                <w:spacing w:val="4"/>
              </w:rPr>
            </w:pPr>
            <w:r>
              <w:rPr>
                <w:spacing w:val="4"/>
              </w:rPr>
              <w:t xml:space="preserve">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68" w:type="dxa"/>
            <w:tcBorders/>
            <w:tcMar>
              <w:bottom w:w="0" w:type="dxa"/>
            </w:tcMar>
            <w:vAlign w:val="center"/>
          </w:tcPr>
          <w:p>
            <w:pPr>
              <w:pStyle w:val="TableContents"/>
              <w:bidi w:val="0"/>
              <w:spacing w:before="0" w:after="0"/>
              <w:jc w:val="both"/>
              <w:rPr/>
            </w:pPr>
            <w:r>
              <w:rPr>
                <w:spacing w:val="4"/>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r>
              <w:rPr/>
              <w:t xml:space="preserve"> </w:t>
            </w:r>
          </w:p>
          <w:p>
            <w:pPr>
              <w:pStyle w:val="TableContents"/>
              <w:bidi w:val="0"/>
              <w:spacing w:lineRule="atLeast" w:line="230" w:before="150" w:after="0"/>
              <w:ind w:left="200" w:right="0" w:hanging="0"/>
              <w:jc w:val="both"/>
              <w:rPr/>
            </w:pPr>
            <w:r>
              <w:rPr>
                <w:spacing w:val="4"/>
              </w:rPr>
              <w:t>the merger agreement does not amend in any respect its certificate of incorporation;</w:t>
            </w:r>
            <w:r>
              <w:rPr/>
              <w:t xml:space="preserve"> </w:t>
            </w:r>
            <w:r>
              <mc:AlternateContent>
                <mc:Choice Requires="wps">
                  <w:drawing>
                    <wp:anchor behindDoc="0" distT="95250" distB="0" distL="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both"/>
              <w:rPr/>
            </w:pPr>
            <w:r>
              <w:rPr>
                <w:spacing w:val="4"/>
              </w:rPr>
              <w:t>each share of its stock outstanding prior to the merger will be an identical share of stock following the merger; and</w:t>
            </w:r>
            <w:r>
              <w:rPr/>
              <w:t xml:space="preserve"> </w:t>
            </w:r>
            <w:r>
              <mc:AlternateContent>
                <mc:Choice Requires="wps">
                  <w:drawing>
                    <wp:anchor behindDoc="0" distT="95250" distB="0" distL="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both"/>
              <w:rPr>
                <w:spacing w:val="4"/>
              </w:rPr>
            </w:pPr>
            <w:r>
              <w:rPr>
                <w:spacing w:val="4"/>
              </w:rPr>
              <w:t xml:space="preserve">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 </w:t>
            </w:r>
            <w:r>
              <mc:AlternateContent>
                <mc:Choice Requires="wps">
                  <w:drawing>
                    <wp:anchor behindDoc="0" distT="95250" distB="0" distL="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109"/>
        <w:gridCol w:w="5650"/>
        <w:gridCol w:w="109"/>
        <w:gridCol w:w="109"/>
        <w:gridCol w:w="233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50"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3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0" w:type="dxa"/>
            <w:tcBorders/>
            <w:tcMar>
              <w:bottom w:w="0" w:type="dxa"/>
            </w:tcMar>
            <w:vAlign w:val="center"/>
          </w:tcPr>
          <w:p>
            <w:pPr>
              <w:pStyle w:val="TableContents"/>
              <w:bidi w:val="0"/>
              <w:spacing w:before="0" w:after="0"/>
              <w:jc w:val="both"/>
              <w:rPr/>
            </w:pPr>
            <w:r>
              <w:rPr>
                <w:spacing w:val="4"/>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r>
              <w:rPr/>
              <w:t xml:space="preserve"> </w:t>
            </w:r>
          </w:p>
          <w:p>
            <w:pPr>
              <w:pStyle w:val="TableContents"/>
              <w:bidi w:val="0"/>
              <w:spacing w:before="120" w:after="283"/>
              <w:jc w:val="both"/>
              <w:rPr>
                <w:spacing w:val="4"/>
              </w:rPr>
            </w:pPr>
            <w:r>
              <w:rPr>
                <w:spacing w:val="4"/>
              </w:rPr>
              <w:t xml:space="preserve">The consent of each holder of a fixed or floating security interest over a constituent company is required unless this requirement is waived by a court in the Cayman Islands.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0"/>
              <w:jc w:val="both"/>
              <w:rPr>
                <w:spacing w:val="4"/>
              </w:rPr>
            </w:pPr>
            <w:r>
              <w:rPr>
                <w:spacing w:val="4"/>
              </w:rPr>
              <w:t xml:space="preserve">Mergers in which one corporation owns 90% or more of a second corporation may be completed without the vote of the second corporation’s board of directors or stockholders.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0" w:type="dxa"/>
            <w:tcBorders/>
            <w:tcMar>
              <w:bottom w:w="0" w:type="dxa"/>
            </w:tcMar>
            <w:vAlign w:val="center"/>
          </w:tcPr>
          <w:p>
            <w:pPr>
              <w:pStyle w:val="TableContents"/>
              <w:bidi w:val="0"/>
              <w:spacing w:before="0" w:after="0"/>
              <w:jc w:val="both"/>
              <w:rPr/>
            </w:pPr>
            <w:r>
              <w:rPr>
                <w:spacing w:val="4"/>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(As Revised).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r>
              <w:rPr/>
              <w:t xml:space="preserve"> </w:t>
            </w:r>
          </w:p>
          <w:p>
            <w:pPr>
              <w:pStyle w:val="TableContents"/>
              <w:bidi w:val="0"/>
              <w:spacing w:before="120" w:after="283"/>
              <w:jc w:val="both"/>
              <w:rPr>
                <w:spacing w:val="4"/>
              </w:rPr>
            </w:pPr>
            <w:r>
              <w:rPr>
                <w:spacing w:val="4"/>
              </w:rPr>
              <w:t xml:space="preserve">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shareholders or class of shareholders, as the case may be, or (b) a majority in number representing 75% in value of the creditors or class of creditors, as the case may be, with whom the arrangement is to be made, that are, in each case, present and voting either in person or by proxy at a meeting,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0"/>
              <w:jc w:val="both"/>
              <w:rPr>
                <w:spacing w:val="4"/>
              </w:rPr>
            </w:pPr>
            <w:r>
              <w:rPr>
                <w:spacing w:val="4"/>
              </w:rPr>
              <w:t xml:space="preserve">Generally, a stockholder of a publicly traded corporation does not have appraisal rights in connection with a merger.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109"/>
        <w:gridCol w:w="6984"/>
        <w:gridCol w:w="109"/>
        <w:gridCol w:w="109"/>
        <w:gridCol w:w="100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84"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84" w:type="dxa"/>
            <w:tcBorders/>
            <w:tcMar>
              <w:bottom w:w="0" w:type="dxa"/>
            </w:tcMar>
            <w:vAlign w:val="center"/>
          </w:tcPr>
          <w:p>
            <w:pPr>
              <w:pStyle w:val="TableContents"/>
              <w:bidi w:val="0"/>
              <w:spacing w:before="0" w:after="0"/>
              <w:jc w:val="both"/>
              <w:rPr/>
            </w:pPr>
            <w:r>
              <w:rPr>
                <w:spacing w:val="4"/>
              </w:rPr>
              <w:t>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r>
              <w:rPr/>
              <w:t xml:space="preserve"> </w:t>
            </w:r>
          </w:p>
          <w:p>
            <w:pPr>
              <w:pStyle w:val="TableContents"/>
              <w:bidi w:val="0"/>
              <w:spacing w:lineRule="atLeast" w:line="230" w:before="150" w:after="0"/>
              <w:ind w:left="160" w:right="0" w:hanging="0"/>
              <w:jc w:val="both"/>
              <w:rPr/>
            </w:pPr>
            <w:r>
              <w:rPr>
                <w:spacing w:val="4"/>
              </w:rPr>
              <w:t>the statutory provisions as to the required majority vote have been met;</w:t>
            </w:r>
            <w:r>
              <w:rPr/>
              <w:t xml:space="preserve"> </w:t>
            </w:r>
            <w:r>
              <mc:AlternateContent>
                <mc:Choice Requires="wps">
                  <w:drawing>
                    <wp:anchor behindDoc="0" distT="95250" distB="0" distL="0" distR="0" simplePos="0" locked="0" layoutInCell="1" allowOverlap="1" relativeHeight="85">
                      <wp:simplePos x="0" y="0"/>
                      <wp:positionH relativeFrom="column">
                        <wp:align>left</wp:align>
                      </wp:positionH>
                      <wp:positionV relativeFrom="line">
                        <wp:align>top</wp:align>
                      </wp:positionV>
                      <wp:extent cx="1016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30" w:before="150" w:after="0"/>
              <w:ind w:left="160" w:right="0" w:hanging="0"/>
              <w:jc w:val="both"/>
              <w:rPr/>
            </w:pPr>
            <w:r>
              <w:rPr>
                <w:spacing w:val="4"/>
              </w:rPr>
              <w:t>the shareholders have been fairly represented at the meeting in question and the statutory majority are acting bona fide without coercion of the minority to promote interests adverse to those of the class;</w:t>
            </w:r>
            <w:r>
              <w:rPr/>
              <w:t xml:space="preserve"> </w:t>
            </w:r>
            <w:r>
              <mc:AlternateContent>
                <mc:Choice Requires="wps">
                  <w:drawing>
                    <wp:anchor behindDoc="0" distT="95250" distB="0" distL="0" distR="0" simplePos="0" locked="0" layoutInCell="1" allowOverlap="1" relativeHeight="86">
                      <wp:simplePos x="0" y="0"/>
                      <wp:positionH relativeFrom="column">
                        <wp:align>left</wp:align>
                      </wp:positionH>
                      <wp:positionV relativeFrom="line">
                        <wp:align>top</wp:align>
                      </wp:positionV>
                      <wp:extent cx="1016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30" w:before="150" w:after="0"/>
              <w:ind w:left="160" w:right="0" w:hanging="0"/>
              <w:jc w:val="both"/>
              <w:rPr/>
            </w:pPr>
            <w:r>
              <w:rPr>
                <w:spacing w:val="4"/>
              </w:rPr>
              <w:t>the arrangement is such that may be reasonably approved by an intelligent and honest man of that class acting in respect of his interest; and</w:t>
            </w:r>
            <w:r>
              <w:rPr/>
              <w:t xml:space="preserve"> </w:t>
            </w:r>
            <w:r>
              <mc:AlternateContent>
                <mc:Choice Requires="wps">
                  <w:drawing>
                    <wp:anchor behindDoc="0" distT="95250" distB="0" distL="0" distR="0" simplePos="0" locked="0" layoutInCell="1" allowOverlap="1" relativeHeight="87">
                      <wp:simplePos x="0" y="0"/>
                      <wp:positionH relativeFrom="column">
                        <wp:align>left</wp:align>
                      </wp:positionH>
                      <wp:positionV relativeFrom="line">
                        <wp:align>top</wp:align>
                      </wp:positionV>
                      <wp:extent cx="1016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30" w:before="150" w:after="0"/>
              <w:ind w:left="160" w:right="0" w:hanging="0"/>
              <w:jc w:val="both"/>
              <w:rPr/>
            </w:pPr>
            <w:r>
              <w:rPr>
                <w:spacing w:val="4"/>
              </w:rPr>
              <w:t>the arrangement is not one that would more properly be sanctioned under some other provision of the Companies Act (As Revised).</w:t>
            </w:r>
            <w:r>
              <w:rPr/>
              <w:t xml:space="preserve"> </w:t>
            </w:r>
            <w:r>
              <mc:AlternateContent>
                <mc:Choice Requires="wps">
                  <w:drawing>
                    <wp:anchor behindDoc="0" distT="95250" distB="0" distL="0" distR="0" simplePos="0" locked="0" layoutInCell="1" allowOverlap="1" relativeHeight="88">
                      <wp:simplePos x="0" y="0"/>
                      <wp:positionH relativeFrom="column">
                        <wp:align>left</wp:align>
                      </wp:positionH>
                      <wp:positionV relativeFrom="line">
                        <wp:align>top</wp:align>
                      </wp:positionV>
                      <wp:extent cx="1016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before="150" w:after="283"/>
              <w:jc w:val="both"/>
              <w:rPr/>
            </w:pPr>
            <w:r>
              <w:rPr>
                <w:spacing w:val="4"/>
              </w:rPr>
              <w:t>The Companies Act (As Revised)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r>
              <w:rPr/>
              <w:t xml:space="preserve"> </w:t>
            </w:r>
          </w:p>
          <w:p>
            <w:pPr>
              <w:pStyle w:val="TableContents"/>
              <w:bidi w:val="0"/>
              <w:spacing w:before="150" w:after="283"/>
              <w:jc w:val="both"/>
              <w:rPr>
                <w:spacing w:val="4"/>
              </w:rPr>
            </w:pPr>
            <w:r>
              <w:rPr>
                <w:spacing w:val="4"/>
              </w:rPr>
              <w:t xml:space="preserve">If an arrangement and reconstruction by way of scheme of arrangement is thus approved and sanctioned, or if a tender offer is made and accepted in accordance with the foregoing statutory procedures, a dissenting shareholder would have no rights comparable to appraisal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579"/>
        <w:gridCol w:w="109"/>
        <w:gridCol w:w="109"/>
        <w:gridCol w:w="3365"/>
        <w:gridCol w:w="109"/>
        <w:gridCol w:w="109"/>
        <w:gridCol w:w="3152"/>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5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5"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52"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5" w:type="dxa"/>
            <w:tcBorders/>
            <w:tcMar>
              <w:bottom w:w="0" w:type="dxa"/>
            </w:tcMar>
            <w:vAlign w:val="center"/>
          </w:tcPr>
          <w:p>
            <w:pPr>
              <w:pStyle w:val="TableContents"/>
              <w:bidi w:val="0"/>
              <w:spacing w:before="0" w:after="0"/>
              <w:jc w:val="both"/>
              <w:rPr>
                <w:spacing w:val="4"/>
              </w:rPr>
            </w:pPr>
            <w:r>
              <w:rPr>
                <w:spacing w:val="4"/>
              </w:rPr>
              <w:t xml:space="preserve">which would otherwise ordinarily be available to dissenting shareholders of Delaware corporations, providing rights to receive payment in cash for the judicially determined value of the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79" w:type="dxa"/>
            <w:tcBorders/>
            <w:tcMar>
              <w:bottom w:w="0" w:type="dxa"/>
            </w:tcMar>
            <w:vAlign w:val="center"/>
          </w:tcPr>
          <w:p>
            <w:pPr>
              <w:pStyle w:val="TableContents"/>
              <w:bidi w:val="0"/>
              <w:spacing w:before="0" w:after="0"/>
              <w:jc w:val="left"/>
              <w:rPr>
                <w:b/>
                <w:i/>
              </w:rPr>
            </w:pPr>
            <w:r>
              <w:rPr>
                <w:b/>
                <w:i/>
                <w:spacing w:val="-4"/>
              </w:rPr>
              <w:t>Shareholders’ Suits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5" w:type="dxa"/>
            <w:tcBorders/>
            <w:tcMar>
              <w:bottom w:w="0" w:type="dxa"/>
            </w:tcMar>
            <w:vAlign w:val="center"/>
          </w:tcPr>
          <w:p>
            <w:pPr>
              <w:pStyle w:val="TableContents"/>
              <w:bidi w:val="0"/>
              <w:spacing w:before="0" w:after="0"/>
              <w:jc w:val="both"/>
              <w:rPr/>
            </w:pPr>
            <w:r>
              <w:rPr>
                <w:spacing w:val="4"/>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r>
              <w:rPr/>
              <w:t xml:space="preserve"> </w:t>
            </w:r>
          </w:p>
          <w:p>
            <w:pPr>
              <w:pStyle w:val="TableContents"/>
              <w:bidi w:val="0"/>
              <w:spacing w:lineRule="atLeast" w:line="230" w:before="150" w:after="0"/>
              <w:ind w:left="200" w:right="0" w:hanging="0"/>
              <w:jc w:val="both"/>
              <w:rPr/>
            </w:pPr>
            <w:r>
              <w:rPr>
                <w:spacing w:val="4"/>
              </w:rPr>
              <w:t>a company acts or proposes to act illegally or ultra vires;</w:t>
            </w:r>
            <w:r>
              <w:rPr/>
              <w:t xml:space="preserve"> </w:t>
            </w:r>
            <w:r>
              <mc:AlternateContent>
                <mc:Choice Requires="wps">
                  <w:drawing>
                    <wp:anchor behindDoc="0" distT="95250" distB="0" distL="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both"/>
              <w:rPr/>
            </w:pPr>
            <w:r>
              <w:rPr>
                <w:spacing w:val="4"/>
              </w:rPr>
              <w:t>the act complained of, although not ultra vires, could only be effected duly if authorized by more than a simple majority vote that has not been obtained; and</w:t>
            </w:r>
            <w:r>
              <w:rPr/>
              <w:t xml:space="preserve"> </w:t>
            </w:r>
            <w:r>
              <mc:AlternateContent>
                <mc:Choice Requires="wps">
                  <w:drawing>
                    <wp:anchor behindDoc="0" distT="95250" distB="0" distL="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both"/>
              <w:rPr>
                <w:spacing w:val="4"/>
              </w:rPr>
            </w:pPr>
            <w:r>
              <w:rPr>
                <w:spacing w:val="4"/>
              </w:rPr>
              <w:t xml:space="preserve">those who control the company are perpetrating a “fraud on the minority.” </w:t>
            </w:r>
            <w:r>
              <mc:AlternateContent>
                <mc:Choice Requires="wps">
                  <w:drawing>
                    <wp:anchor behindDoc="0" distT="95250" distB="0" distL="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2" w:type="dxa"/>
            <w:tcBorders/>
            <w:tcMar>
              <w:bottom w:w="0" w:type="dxa"/>
            </w:tcMar>
            <w:vAlign w:val="center"/>
          </w:tcPr>
          <w:p>
            <w:pPr>
              <w:pStyle w:val="TableContents"/>
              <w:bidi w:val="0"/>
              <w:spacing w:before="0" w:after="0"/>
              <w:jc w:val="both"/>
              <w:rPr>
                <w:spacing w:val="4"/>
              </w:rPr>
            </w:pPr>
            <w:r>
              <w:rPr>
                <w:spacing w:val="4"/>
              </w:rPr>
              <w:t xml:space="preserve">Class actions and derivative actions generally are available to stockholders under Delaware law for, among other things, breach of fiduciary duty, corporate waste and actions not taken in accordance with applicable law. In such actions, the court generally has discretion to permit a winning plaintiff to recover attorneys’ fees incurred in connection with such action.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79" w:type="dxa"/>
            <w:tcBorders/>
            <w:tcMar>
              <w:bottom w:w="0" w:type="dxa"/>
            </w:tcMar>
            <w:vAlign w:val="center"/>
          </w:tcPr>
          <w:p>
            <w:pPr>
              <w:pStyle w:val="TableContents"/>
              <w:bidi w:val="0"/>
              <w:spacing w:before="0" w:after="0"/>
              <w:ind w:left="200" w:right="0" w:hanging="200"/>
              <w:jc w:val="left"/>
              <w:rPr>
                <w:b/>
                <w:i/>
              </w:rPr>
            </w:pPr>
            <w:r>
              <w:rPr>
                <w:b/>
                <w:i/>
                <w:spacing w:val="-4"/>
              </w:rPr>
              <w:t>Indemnification of Directors and Executive Officers and Limitation of Liability</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5" w:type="dxa"/>
            <w:tcBorders/>
            <w:tcMar>
              <w:bottom w:w="0" w:type="dxa"/>
            </w:tcMar>
            <w:vAlign w:val="center"/>
          </w:tcPr>
          <w:p>
            <w:pPr>
              <w:pStyle w:val="TableContents"/>
              <w:bidi w:val="0"/>
              <w:spacing w:before="0" w:after="0"/>
              <w:jc w:val="both"/>
              <w:rPr>
                <w:spacing w:val="4"/>
              </w:rPr>
            </w:pPr>
            <w:r>
              <w:rPr>
                <w:spacing w:val="4"/>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2" w:type="dxa"/>
            <w:tcBorders/>
            <w:tcMar>
              <w:bottom w:w="0" w:type="dxa"/>
            </w:tcMar>
            <w:vAlign w:val="center"/>
          </w:tcPr>
          <w:p>
            <w:pPr>
              <w:pStyle w:val="TableContents"/>
              <w:bidi w:val="0"/>
              <w:spacing w:before="0" w:after="0"/>
              <w:jc w:val="both"/>
              <w:rPr>
                <w:spacing w:val="4"/>
              </w:rPr>
            </w:pPr>
            <w:r>
              <w:rPr>
                <w:spacing w:val="4"/>
              </w:rPr>
              <w:t xml:space="preserve">A corporation has the power to indemnify any director, officer, employee, or agent of the corporation who was, is or is threatened to be made a party to an action, suit or proceeding who acted in good faith and in a manner they believed to be in the best interests of the corporation, and if with respect to a criminal proceeding, had no reasonable cause to believe his or her conduct would be unlawful, against amounts actually and reasonably incurred. Additionally, under the Delaware General Corporation Law,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900"/>
        <w:gridCol w:w="109"/>
        <w:gridCol w:w="109"/>
        <w:gridCol w:w="4356"/>
        <w:gridCol w:w="109"/>
        <w:gridCol w:w="109"/>
        <w:gridCol w:w="2840"/>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56"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40"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6" w:type="dxa"/>
            <w:tcBorders/>
            <w:tcMar>
              <w:bottom w:w="0" w:type="dxa"/>
            </w:tcMar>
            <w:vAlign w:val="center"/>
          </w:tcPr>
          <w:p>
            <w:pPr>
              <w:pStyle w:val="TableContents"/>
              <w:bidi w:val="0"/>
              <w:spacing w:before="0" w:after="0"/>
              <w:jc w:val="both"/>
              <w:rPr/>
            </w:pPr>
            <w:r>
              <w:rPr>
                <w:spacing w:val="4"/>
              </w:rPr>
              <w:t>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our affairs in any court whether in the Cayman Islands or elsewhere.</w:t>
            </w:r>
            <w:r>
              <w:rPr/>
              <w:t xml:space="preserve"> </w:t>
            </w:r>
          </w:p>
          <w:p>
            <w:pPr>
              <w:pStyle w:val="TableContents"/>
              <w:bidi w:val="0"/>
              <w:spacing w:before="120" w:after="283"/>
              <w:jc w:val="both"/>
              <w:rPr/>
            </w:pPr>
            <w:r>
              <w:rPr>
                <w:spacing w:val="4"/>
              </w:rPr>
              <w:t>In addition, we have entered into indemnification agreements with our directors and executive officers that provide such persons with additional indemnification beyond that provided in the Articles.</w:t>
            </w:r>
            <w:r>
              <w:rPr/>
              <w:t xml:space="preserve"> </w:t>
            </w:r>
          </w:p>
          <w:p>
            <w:pPr>
              <w:pStyle w:val="TableContents"/>
              <w:bidi w:val="0"/>
              <w:spacing w:before="120" w:after="283"/>
              <w:jc w:val="both"/>
              <w:rPr>
                <w:spacing w:val="4"/>
              </w:rPr>
            </w:pPr>
            <w:r>
              <w:rPr>
                <w:spacing w:val="4"/>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40" w:type="dxa"/>
            <w:tcBorders/>
            <w:tcMar>
              <w:bottom w:w="0" w:type="dxa"/>
            </w:tcMar>
            <w:vAlign w:val="center"/>
          </w:tcPr>
          <w:p>
            <w:pPr>
              <w:pStyle w:val="TableContents"/>
              <w:bidi w:val="0"/>
              <w:spacing w:before="0" w:after="0"/>
              <w:jc w:val="both"/>
              <w:rPr>
                <w:spacing w:val="4"/>
              </w:rPr>
            </w:pPr>
            <w:r>
              <w:rPr>
                <w:spacing w:val="4"/>
              </w:rPr>
              <w:t xml:space="preserve">by reason of the fact that he or she is or was a director or officer of the corporation.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0"/>
              <w:ind w:left="200" w:right="0" w:hanging="200"/>
              <w:jc w:val="left"/>
              <w:rPr>
                <w:b/>
                <w:i/>
              </w:rPr>
            </w:pPr>
            <w:r>
              <w:rPr>
                <w:b/>
                <w:i/>
                <w:spacing w:val="-4"/>
              </w:rPr>
              <w:t>Directors’ Fiduciary Duties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6" w:type="dxa"/>
            <w:tcBorders/>
            <w:tcMar>
              <w:bottom w:w="0" w:type="dxa"/>
            </w:tcMar>
            <w:vAlign w:val="center"/>
          </w:tcPr>
          <w:p>
            <w:pPr>
              <w:pStyle w:val="TableContents"/>
              <w:bidi w:val="0"/>
              <w:spacing w:before="0" w:after="0"/>
              <w:jc w:val="both"/>
              <w:rPr>
                <w:spacing w:val="4"/>
              </w:rPr>
            </w:pPr>
            <w:r>
              <w:rPr>
                <w:spacing w:val="4"/>
              </w:rPr>
              <w:t xml:space="preserve">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40" w:type="dxa"/>
            <w:tcBorders/>
            <w:tcMar>
              <w:bottom w:w="0" w:type="dxa"/>
            </w:tcMar>
            <w:vAlign w:val="center"/>
          </w:tcPr>
          <w:p>
            <w:pPr>
              <w:pStyle w:val="TableContents"/>
              <w:bidi w:val="0"/>
              <w:spacing w:before="0" w:after="0"/>
              <w:jc w:val="both"/>
              <w:rPr/>
            </w:pPr>
            <w:r>
              <w:rPr>
                <w:spacing w:val="4"/>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r>
              <w:rPr/>
              <w:t xml:space="preserve"> </w:t>
            </w:r>
          </w:p>
          <w:p>
            <w:pPr>
              <w:pStyle w:val="TableContents"/>
              <w:bidi w:val="0"/>
              <w:spacing w:before="120" w:after="283"/>
              <w:jc w:val="both"/>
              <w:rPr/>
            </w:pPr>
            <w:r>
              <w:rPr>
                <w:spacing w:val="4"/>
              </w:rPr>
              <w:t>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291"/>
        <w:gridCol w:w="109"/>
        <w:gridCol w:w="109"/>
        <w:gridCol w:w="3688"/>
        <w:gridCol w:w="109"/>
        <w:gridCol w:w="109"/>
        <w:gridCol w:w="3117"/>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8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17"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both"/>
              <w:rPr>
                <w:spacing w:val="4"/>
              </w:rPr>
            </w:pPr>
            <w:r>
              <w:rPr>
                <w:spacing w:val="4"/>
              </w:rPr>
              <w:t xml:space="preserve">these authorities are likely to be followed in the Cayman Islands.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0"/>
              <w:jc w:val="both"/>
              <w:rPr>
                <w:spacing w:val="4"/>
              </w:rPr>
            </w:pPr>
            <w:r>
              <w:rPr>
                <w:spacing w:val="4"/>
              </w:rPr>
              <w:t xml:space="preserve">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200" w:right="0" w:hanging="200"/>
              <w:jc w:val="left"/>
              <w:rPr>
                <w:b/>
                <w:i/>
              </w:rPr>
            </w:pPr>
            <w:r>
              <w:rPr>
                <w:b/>
                <w:i/>
                <w:spacing w:val="-4"/>
              </w:rPr>
              <w:t>Shareholder Action by Written Consent</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both"/>
              <w:rPr>
                <w:spacing w:val="4"/>
              </w:rPr>
            </w:pPr>
            <w:r>
              <w:rPr>
                <w:spacing w:val="4"/>
              </w:rPr>
              <w:t xml:space="preserve">Cayman Islands law and our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corporation may eliminate the right of shareholders to act by written consent by amendment to its certificate of incorporation.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200" w:right="0" w:hanging="200"/>
              <w:jc w:val="left"/>
              <w:rPr>
                <w:b/>
                <w:i/>
              </w:rPr>
            </w:pPr>
            <w:r>
              <w:rPr>
                <w:b/>
                <w:i/>
                <w:spacing w:val="-4"/>
              </w:rPr>
              <w:t>Shareholder Proposals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both"/>
              <w:rPr>
                <w:spacing w:val="4"/>
              </w:rPr>
            </w:pPr>
            <w:r>
              <w:rPr>
                <w:spacing w:val="4"/>
              </w:rPr>
              <w:t xml:space="preserve">The Companies Act provides shareholders with only limited rights to requisition a general meeting, and does not provide shareholders with any right to put any proposal before a general meeting. However, these rights may be provided in a company’s articles of association. However, the Articles do not contain such rights. As a Cayman Islands exempted company, we are not obliged by law to call shareholders’ annual general meetings.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b/>
                <w:i/>
              </w:rPr>
            </w:pPr>
            <w:r>
              <w:rPr>
                <w:b/>
                <w:i/>
                <w:spacing w:val="-4"/>
              </w:rPr>
              <w:t>Cumulative Voting</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both"/>
              <w:rPr>
                <w:spacing w:val="4"/>
              </w:rPr>
            </w:pPr>
            <w:r>
              <w:rPr>
                <w:spacing w:val="4"/>
              </w:rPr>
              <w:t xml:space="preserve">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Amended and Restated Memorandum and Articles of Association do not provide for cumulative voting. As a result, our shareholders are not afforded any less protections or rights on this issue than shareholders of a Delaware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cumulative voting for elections of directors is not permitted unless the corporation’s certificate of incorporation specifically provides for it.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222"/>
        <w:gridCol w:w="109"/>
        <w:gridCol w:w="109"/>
        <w:gridCol w:w="4938"/>
        <w:gridCol w:w="109"/>
        <w:gridCol w:w="109"/>
        <w:gridCol w:w="193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3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7"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22" w:type="dxa"/>
            <w:tcBorders/>
            <w:tcMar>
              <w:bottom w:w="0" w:type="dxa"/>
            </w:tcMar>
            <w:vAlign w:val="center"/>
          </w:tcPr>
          <w:p>
            <w:pPr>
              <w:pStyle w:val="TableContents"/>
              <w:bidi w:val="0"/>
              <w:spacing w:before="0" w:after="0"/>
              <w:jc w:val="left"/>
              <w:rPr>
                <w:b/>
                <w:i/>
              </w:rPr>
            </w:pPr>
            <w:r>
              <w:rPr>
                <w:b/>
                <w:i/>
                <w:spacing w:val="-4"/>
              </w:rPr>
              <w:t>Removal of Directors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38" w:type="dxa"/>
            <w:tcBorders/>
            <w:tcMar>
              <w:bottom w:w="0" w:type="dxa"/>
            </w:tcMar>
            <w:vAlign w:val="center"/>
          </w:tcPr>
          <w:p>
            <w:pPr>
              <w:pStyle w:val="TableContents"/>
              <w:bidi w:val="0"/>
              <w:spacing w:before="0" w:after="0"/>
              <w:jc w:val="both"/>
              <w:rPr>
                <w:spacing w:val="4"/>
              </w:rPr>
            </w:pPr>
            <w:r>
              <w:rPr>
                <w:spacing w:val="4"/>
              </w:rPr>
              <w:t xml:space="preserve">Under our Articles, a director (other than the Sponsor Director and any of the Betters Directors) may be removed by way of an ordinary resolution of shareholders at any time before the expiration of his period of office notwithstanding anything in the Articles or in any agreement between our company and such director. Notwithstanding the foregoing, the Sponsor Director may be removed by the Sponsor and the Betters Directors may be removed by Betters Medical (or its affiliates), in each case, by written notice to our company.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 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our company;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7"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director of a corporation with a classified board may be removed only for cause with the approval of a majority of the issued and outstanding shares entitled to vote, unless the certificate of incorporation provides otherwise.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22" w:type="dxa"/>
            <w:tcBorders/>
            <w:tcMar>
              <w:bottom w:w="0" w:type="dxa"/>
            </w:tcMar>
            <w:vAlign w:val="center"/>
          </w:tcPr>
          <w:p>
            <w:pPr>
              <w:pStyle w:val="TableContents"/>
              <w:bidi w:val="0"/>
              <w:spacing w:before="0" w:after="0"/>
              <w:ind w:left="200" w:right="0" w:hanging="200"/>
              <w:jc w:val="left"/>
              <w:rPr>
                <w:b/>
                <w:i/>
              </w:rPr>
            </w:pPr>
            <w:r>
              <w:rPr>
                <w:b/>
                <w:i/>
                <w:spacing w:val="-4"/>
              </w:rPr>
              <w:t>Transactions with Interested Shareholders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38" w:type="dxa"/>
            <w:tcBorders/>
            <w:tcMar>
              <w:bottom w:w="0" w:type="dxa"/>
            </w:tcMar>
            <w:vAlign w:val="center"/>
          </w:tcPr>
          <w:p>
            <w:pPr>
              <w:pStyle w:val="TableContents"/>
              <w:bidi w:val="0"/>
              <w:spacing w:before="0" w:after="0"/>
              <w:jc w:val="both"/>
              <w:rPr>
                <w:spacing w:val="4"/>
              </w:rPr>
            </w:pPr>
            <w:r>
              <w:rPr>
                <w:spacing w:val="4"/>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7" w:type="dxa"/>
            <w:tcBorders/>
            <w:tcMar>
              <w:bottom w:w="0" w:type="dxa"/>
            </w:tcMar>
            <w:vAlign w:val="center"/>
          </w:tcPr>
          <w:p>
            <w:pPr>
              <w:pStyle w:val="TableContents"/>
              <w:bidi w:val="0"/>
              <w:spacing w:before="0" w:after="0"/>
              <w:jc w:val="both"/>
              <w:rPr>
                <w:spacing w:val="4"/>
              </w:rPr>
            </w:pPr>
            <w:r>
              <w:rPr>
                <w:spacing w:val="4"/>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111"/>
        <w:gridCol w:w="109"/>
        <w:gridCol w:w="109"/>
        <w:gridCol w:w="2708"/>
        <w:gridCol w:w="109"/>
        <w:gridCol w:w="109"/>
        <w:gridCol w:w="427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7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8" w:type="dxa"/>
            <w:tcBorders/>
            <w:tcMar>
              <w:bottom w:w="0" w:type="dxa"/>
            </w:tcMar>
            <w:vAlign w:val="center"/>
          </w:tcPr>
          <w:p>
            <w:pPr>
              <w:pStyle w:val="TableContents"/>
              <w:bidi w:val="0"/>
              <w:spacing w:before="0" w:after="0"/>
              <w:jc w:val="both"/>
              <w:rPr>
                <w:spacing w:val="4"/>
              </w:rPr>
            </w:pPr>
            <w:r>
              <w:rPr>
                <w:spacing w:val="4"/>
              </w:rPr>
              <w:t xml:space="preserve">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8" w:type="dxa"/>
            <w:tcBorders/>
            <w:tcMar>
              <w:bottom w:w="0" w:type="dxa"/>
            </w:tcMar>
            <w:vAlign w:val="center"/>
          </w:tcPr>
          <w:p>
            <w:pPr>
              <w:pStyle w:val="TableContents"/>
              <w:bidi w:val="0"/>
              <w:spacing w:before="0" w:after="0"/>
              <w:jc w:val="both"/>
              <w:rPr>
                <w:spacing w:val="4"/>
              </w:rPr>
            </w:pPr>
            <w:r>
              <w:rPr>
                <w:spacing w:val="4"/>
              </w:rPr>
              <w:t xml:space="preserve">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ind w:left="200" w:right="0" w:hanging="200"/>
              <w:jc w:val="left"/>
              <w:rPr>
                <w:b/>
                <w:i/>
              </w:rPr>
            </w:pPr>
            <w:r>
              <w:rPr>
                <w:b/>
                <w:i/>
                <w:spacing w:val="-4"/>
              </w:rPr>
              <w:t>Dissolution; Winding Up</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8" w:type="dxa"/>
            <w:tcBorders/>
            <w:tcMar>
              <w:bottom w:w="0" w:type="dxa"/>
            </w:tcMar>
            <w:vAlign w:val="center"/>
          </w:tcPr>
          <w:p>
            <w:pPr>
              <w:pStyle w:val="TableContents"/>
              <w:bidi w:val="0"/>
              <w:spacing w:before="0" w:after="0"/>
              <w:jc w:val="both"/>
              <w:rPr>
                <w:spacing w:val="4"/>
              </w:rPr>
            </w:pPr>
            <w:r>
              <w:rPr>
                <w:spacing w:val="4"/>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8"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ind w:left="200" w:right="0" w:hanging="200"/>
              <w:jc w:val="left"/>
              <w:rPr>
                <w:b/>
                <w:i/>
              </w:rPr>
            </w:pPr>
            <w:r>
              <w:rPr>
                <w:b/>
                <w:i/>
                <w:spacing w:val="-4"/>
              </w:rPr>
              <w:t>Variation of Rights of Shares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8" w:type="dxa"/>
            <w:tcBorders/>
            <w:tcMar>
              <w:bottom w:w="0" w:type="dxa"/>
            </w:tcMar>
            <w:vAlign w:val="center"/>
          </w:tcPr>
          <w:p>
            <w:pPr>
              <w:pStyle w:val="TableContents"/>
              <w:bidi w:val="0"/>
              <w:spacing w:before="0" w:after="0"/>
              <w:jc w:val="both"/>
              <w:rPr>
                <w:spacing w:val="4"/>
              </w:rPr>
            </w:pPr>
            <w:r>
              <w:rPr>
                <w:spacing w:val="4"/>
              </w:rPr>
              <w:t xml:space="preserve">Under the Articles, if our share capital is divided into more than one class of shares, the rights attached to any such class may only be varied with the sanction of a resolution passed by a majority of two- thirds of the votes cast at a separate meeting of the holders of the shares of that class.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8"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corporation may vary the rights of a class of shares with the approval of a majority of the outstanding shares of such class, unless the certificate of incorporation provides otherwise.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391"/>
        <w:gridCol w:w="109"/>
        <w:gridCol w:w="109"/>
        <w:gridCol w:w="3942"/>
        <w:gridCol w:w="109"/>
        <w:gridCol w:w="109"/>
        <w:gridCol w:w="2763"/>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3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42"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63"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1" w:type="dxa"/>
            <w:tcBorders/>
            <w:tcMar>
              <w:bottom w:w="0" w:type="dxa"/>
            </w:tcMar>
            <w:vAlign w:val="center"/>
          </w:tcPr>
          <w:p>
            <w:pPr>
              <w:pStyle w:val="TableContents"/>
              <w:bidi w:val="0"/>
              <w:spacing w:before="0" w:after="0"/>
              <w:ind w:left="200" w:right="0" w:hanging="200"/>
              <w:jc w:val="left"/>
              <w:rPr>
                <w:b/>
                <w:i/>
              </w:rPr>
            </w:pPr>
            <w:r>
              <w:rPr>
                <w:b/>
                <w:i/>
                <w:spacing w:val="-4"/>
              </w:rPr>
              <w:t>Amendment of Governing Documents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0"/>
              <w:jc w:val="both"/>
              <w:rPr>
                <w:spacing w:val="4"/>
              </w:rPr>
            </w:pPr>
            <w:r>
              <w:rPr>
                <w:spacing w:val="4"/>
              </w:rPr>
              <w:t xml:space="preserve">Under the Companies Act and our Amended and Restated Memorandum and Articles of Association, our memorandum and articles of association may only be amended by a special resolution of our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63"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corporation’s governing documents may be amended with the approval of a majority of the outstanding shares entitled to vote, unless the certificate of incorporation provides otherwise.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1" w:type="dxa"/>
            <w:tcBorders/>
            <w:tcMar>
              <w:bottom w:w="0" w:type="dxa"/>
            </w:tcMar>
            <w:vAlign w:val="center"/>
          </w:tcPr>
          <w:p>
            <w:pPr>
              <w:pStyle w:val="TableContents"/>
              <w:bidi w:val="0"/>
              <w:spacing w:before="0" w:after="0"/>
              <w:ind w:left="200" w:right="0" w:hanging="200"/>
              <w:jc w:val="left"/>
              <w:rPr>
                <w:b/>
                <w:i/>
              </w:rPr>
            </w:pPr>
            <w:r>
              <w:rPr>
                <w:b/>
                <w:i/>
                <w:spacing w:val="-4"/>
              </w:rPr>
              <w:t>Rights of Non-resident or Foreign Shareholders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0"/>
              <w:jc w:val="both"/>
              <w:rPr>
                <w:spacing w:val="4"/>
              </w:rPr>
            </w:pPr>
            <w:r>
              <w:rPr>
                <w:spacing w:val="4"/>
              </w:rPr>
              <w:t xml:space="preserve">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that require our company to disclose shareholder ownership above any particular ownership threshold.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63" w:type="dxa"/>
            <w:tcBorders/>
            <w:tcMar>
              <w:bottom w:w="0" w:type="dxa"/>
            </w:tcMar>
            <w:vAlign w:val="center"/>
          </w:tcPr>
          <w:p>
            <w:pPr>
              <w:pStyle w:val="TableContents"/>
              <w:bidi w:val="0"/>
              <w:spacing w:before="0" w:after="0"/>
              <w:jc w:val="both"/>
              <w:rPr/>
            </w:pPr>
            <w:r>
              <w:rPr>
                <w:spacing w:val="4"/>
              </w:rPr>
              <w:t>Under Delaware General Corporation Law, there are no restrictions on foreign shareholders, and all the stock or membership interests in a Delaware company can be owned by non-U.S. nationals.</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9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Exempted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incorporated with limited liability under the Companies Act (As Revised) of the Cayman Islands. The Companies Act (As Revised) of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have to file an annual return of its shareholders with the Registrar of Companies; </w:t>
      </w:r>
      <w:r>
        <mc:AlternateContent>
          <mc:Choice Requires="wps">
            <w:drawing>
              <wp:anchor behindDoc="0" distT="6985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required to open its register of members for inspection; </w:t>
      </w:r>
      <w:r>
        <mc:AlternateContent>
          <mc:Choice Requires="wps">
            <w:drawing>
              <wp:anchor behindDoc="0" distT="5715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have to hold an annual general meeting; </w:t>
      </w:r>
      <w:r>
        <mc:AlternateContent>
          <mc:Choice Requires="wps">
            <w:drawing>
              <wp:anchor behindDoc="0" distT="5715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issue shares with no par value; </w:t>
      </w:r>
      <w:r>
        <mc:AlternateContent>
          <mc:Choice Requires="wps">
            <w:drawing>
              <wp:anchor behindDoc="0" distT="5715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obtain an undertaking against the imposition of any future taxation (such undertakings are usually given for 20 years in the first instance); </w:t>
      </w:r>
      <w:r>
        <mc:AlternateContent>
          <mc:Choice Requires="wps">
            <w:drawing>
              <wp:anchor behindDoc="0" distT="5715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by way of continuation in another jurisdiction and be deregistered in the Cayman Islands; </w:t>
      </w:r>
      <w:r>
        <mc:AlternateContent>
          <mc:Choice Requires="wps">
            <w:drawing>
              <wp:anchor behindDoc="0" distT="5715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as a limited duration company; and </w:t>
      </w:r>
      <w:r>
        <mc:AlternateContent>
          <mc:Choice Requires="wps">
            <w:drawing>
              <wp:anchor behindDoc="0" distT="5715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as a segregated portfolio company. </w:t>
      </w:r>
      <w:r>
        <mc:AlternateContent>
          <mc:Choice Requires="wps">
            <w:drawing>
              <wp:anchor behindDoc="0" distT="5715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of Non-Resident or Foreign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limitations imposed by our Amended and Restated Memorandum and Articles of Association on the rights of non-resident or foreign shareholders to hold or exercise voting rights on Ordinary Shares. In addition, there are no provisions in the our Amended and Restated Memorandum and Articles of Association governing the ownership threshold above which shareholder ownership must be disclosed.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Civil Liability under Cayman Islands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uncertainty as to whether the courts of the Cayman Islands would (1) recognize and enforce judgments of courts of the United States obtained against us or our directors or officers that are predicated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Anti-Money Laundering — Cayman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legislation or regulations aimed at the prevention of money laundering, we may be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reserve the right to refuse to make any redemption payment to a shareholder if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compliance with any such laws or regulations in any applicable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Data Protection — Cayman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certain duties under the Data Protection Act (As Revised) of the Cayman Islands (the “DPA”) based on internationally accepted principles of data privacy.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Privacy Notice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Introduction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privacy notice puts our shareholders on notice that through your investment in us you will provide us with certain personal information which constitutes personal data within the meaning of the DPA (“personal data”). In the following discussion, the “company” refers to us and our affiliates and/or delegates, except where the context requires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 Data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this Affects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transmit the content of this Privacy Notice to such individuals or otherwise advise them of its content.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We May Use a Shareholder’s Personal Data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 the data controller, may collect, store and use personal data for lawful purposes, including, in particular: </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the performance of our rights and obligations under any purchase agreements; </w:t>
      </w:r>
      <w:r>
        <mc:AlternateContent>
          <mc:Choice Requires="wps">
            <w:drawing>
              <wp:anchor behindDoc="0" distT="8255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compliance with a legal and regulatory obligation to which we are subject (such as compliance with anti-money laundering and FATCA/CRS requirements); and/or </w:t>
      </w:r>
      <w:r>
        <mc:AlternateContent>
          <mc:Choice Requires="wps">
            <w:drawing>
              <wp:anchor behindDoc="0" distT="8255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the purposes of our legitimate interests and such interests are not overridden by your interests, fundamental rights or freedoms. </w:t>
      </w:r>
      <w:r>
        <mc:AlternateContent>
          <mc:Choice Requires="wps">
            <w:drawing>
              <wp:anchor behindDoc="0" distT="8255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we wish to use personal data for other specific purposes (including, if applicable, any purpose that requires your consent), we will contact you.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Why We May Transfer Your Personal Data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regulatory authorities, including tax authorities.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disclosing personal data to persons who provide services to us and their respective affiliates (which may include certain entities located outside the United States, the Cayman Islands or the European Economic Area), who will process your personal data on our behalf.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Data Protection Measures We Take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transfer of personal data by us or our duly authorized affiliates and/or delegates outside of the Cayman Islands shall be in accordance with the requirements of the DPA. 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We shall notify you of any personal data breach that is reasonably likely to result in a risk to your interests, fundamental rights or freedoms or those data subjects to whom the relevant personal data relates.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SH"/>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among other things, the registration and resale by the Selling Securityholders of up to 34,415,562 Ordinary Shares, including (1) 27,463,627 issued and outstanding Ordinary Shares held by 16 shareholders of Betters Medical, which were issued to Betters Medical in connection with the Business Combination valued at US$10.20 per share and distributed to the existing shareholders of Betters Medical as a stock dividend through a pro rata distribution in proportion to Betters Medical’s shareholding structure on June 25, 2025; (2) 6,028,406 issued and outstanding Sponsor Shares, comprising (x) 5,750,000 Ordinary Shares exchanged from 5,750,000 ExcelFin Class A Common Stock purchased by the Sponsor at a price of approximately US$0.004 per share; and (y) 278,406 Ordinary Shares converted from the aggregate outstanding balance of certain working capital loans provided to ExcelFin by the Sponsor and its affiliates at a conversion price of US$10.20 per share; (3) 50,000 issued and outstanding Ordinary Shares currently held by Cohen, which were issued to Cohen valued at US$10.00 per share; (4) up to 290,000 Ordinary Shares by GFC upon conversion of 290,000 GFC Shares acquired by GFC in a private placement concurrently with the closing of the Business Combination at US$10.00 per share in accordance with the terms of the Amended and Restated Articles of Association of the Company; and (5) 583,529 issued and outstanding Ordinary Shares currently held by Grand Fortune, which were issued to Grand Fortune valued at US$6.75 per share. When we refer to the “Selling Securityholders” in this prospectus, we mean the persons listed in the table below, and the pledgees, donees, transferees, assignees or other successors in interest (that receive any of the securities as a gift, distribution, or other non-sale related transfer) of the persons named in the table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as of the date of this prospectus, the name of the Selling Securityholders for which we are registering securities for resale to the public and the aggregate principal amount that the Selling Securityholders may offer pursuant to this prospectus, assuming the full conversion of GFC Shares into 290,000 Ordinary Shares, and assuming that the Earnout Shares will be vested.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advise you as to whether the Selling Securityholders will in fact sell any or all of such securities. In addition, the Selling Securityholders may sell, transfer or otherwise dispose of, at any time and from time to time, the ordinary shares in transactions exempt from the registration requirements of the Securities Act after the date of this prospectus, subject to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registered on its behalf. A Selling Securityholder may sell all, some or none of such securities in this offering. See the section titled “Plan of Distribution.”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owned by the persons named below do not have voting rights different from the securities owned by other holders. </w:t>
      </w:r>
    </w:p>
    <w:tbl>
      <w:tblPr>
        <w:tblW w:w="8812" w:type="dxa"/>
        <w:jc w:val="left"/>
        <w:tblInd w:w="1393" w:type="dxa"/>
        <w:tblLayout w:type="fixed"/>
        <w:tblCellMar>
          <w:top w:w="0" w:type="dxa"/>
          <w:left w:w="0" w:type="dxa"/>
          <w:bottom w:w="28" w:type="dxa"/>
          <w:right w:w="0" w:type="dxa"/>
        </w:tblCellMar>
      </w:tblPr>
      <w:tblGrid>
        <w:gridCol w:w="1889"/>
        <w:gridCol w:w="109"/>
        <w:gridCol w:w="109"/>
        <w:gridCol w:w="109"/>
        <w:gridCol w:w="109"/>
        <w:gridCol w:w="1186"/>
        <w:gridCol w:w="109"/>
        <w:gridCol w:w="109"/>
        <w:gridCol w:w="109"/>
        <w:gridCol w:w="109"/>
        <w:gridCol w:w="109"/>
        <w:gridCol w:w="526"/>
        <w:gridCol w:w="109"/>
        <w:gridCol w:w="109"/>
        <w:gridCol w:w="109"/>
        <w:gridCol w:w="109"/>
        <w:gridCol w:w="109"/>
        <w:gridCol w:w="1186"/>
        <w:gridCol w:w="109"/>
        <w:gridCol w:w="109"/>
        <w:gridCol w:w="109"/>
        <w:gridCol w:w="120"/>
        <w:gridCol w:w="120"/>
        <w:gridCol w:w="583"/>
        <w:gridCol w:w="121"/>
        <w:gridCol w:w="109"/>
        <w:gridCol w:w="109"/>
        <w:gridCol w:w="109"/>
        <w:gridCol w:w="109"/>
        <w:gridCol w:w="526"/>
        <w:gridCol w:w="109"/>
        <w:gridCol w:w="157"/>
      </w:tblGrid>
      <w:tr>
        <w:trPr/>
        <w:tc>
          <w:tcPr>
            <w:tcW w:w="18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Securities</w:t>
            </w:r>
            <w:r>
              <w:rPr/>
              <w:t xml:space="preserve"> </w:t>
              <w:br/>
            </w:r>
            <w:r>
              <w:rPr>
                <w:spacing w:val="-3"/>
              </w:rPr>
              <w:t>beneficially</w:t>
            </w:r>
            <w:r>
              <w:rPr/>
              <w:t xml:space="preserve"> </w:t>
              <w:br/>
            </w:r>
            <w:r>
              <w:rPr>
                <w:spacing w:val="-3"/>
              </w:rPr>
              <w:t>owned prior to this</w:t>
            </w:r>
            <w:r>
              <w:rPr/>
              <w:t xml:space="preserve"> </w:t>
              <w:br/>
            </w:r>
            <w:r>
              <w:rPr>
                <w:spacing w:val="-3"/>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Securities to</w:t>
            </w:r>
            <w:r>
              <w:rPr/>
              <w:t xml:space="preserve"> </w:t>
              <w:br/>
            </w:r>
            <w:r>
              <w:rPr>
                <w:spacing w:val="-3"/>
              </w:rPr>
              <w:t>be sold in this</w:t>
            </w:r>
            <w:r>
              <w:rPr/>
              <w:t xml:space="preserve"> </w:t>
              <w:br/>
            </w:r>
            <w:r>
              <w:rPr>
                <w:spacing w:val="-3"/>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15"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Securities</w:t>
            </w:r>
            <w:r>
              <w:rPr/>
              <w:t xml:space="preserve"> </w:t>
              <w:br/>
            </w:r>
            <w:r>
              <w:rPr>
                <w:spacing w:val="-3"/>
              </w:rPr>
              <w:t>beneficially</w:t>
            </w:r>
            <w:r>
              <w:rPr/>
              <w:t xml:space="preserve"> </w:t>
              <w:br/>
            </w:r>
            <w:r>
              <w:rPr>
                <w:spacing w:val="-3"/>
              </w:rPr>
              <w:t>owned after this</w:t>
            </w:r>
            <w:r>
              <w:rPr/>
              <w:t xml:space="preserve"> </w:t>
              <w:br/>
            </w:r>
            <w:r>
              <w:rPr>
                <w:spacing w:val="-3"/>
              </w:rPr>
              <w:t xml:space="preserve">offering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88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Selling Securityholder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4"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Ordinary</w:t>
            </w:r>
            <w:r>
              <w:rPr/>
              <w:t xml:space="preserve"> </w:t>
              <w:br/>
            </w:r>
            <w:r>
              <w:rPr>
                <w:spacing w:val="-3"/>
              </w:rPr>
              <w:t>Shares</w:t>
            </w:r>
            <w:r>
              <w:rPr>
                <w:spacing w:val="-2"/>
                <w:sz w:val="10"/>
              </w:rPr>
              <w:t>(1)(2)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w:t>
            </w:r>
            <w:r>
              <w:rPr>
                <w:spacing w:val="-2"/>
                <w:sz w:val="10"/>
              </w:rPr>
              <w:t>(1)(2)</w:t>
            </w:r>
            <w:r>
              <w:rPr/>
              <w:t xml:space="preserv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ExcelFin SPAC LLC</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4,773,406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4,773,406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   —</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Nautilus Master Fund LP</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Highbridge Tactical Credit Master Fund LP</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Highbridge Tactical Credit Institutional Fund Ltd</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Radcliffe SPAC Master Fund LP</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Fir Tree Value Master Fund LP</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Fir Tree Capital Opportunity Master Fund LP</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Fir Tree Capital Opportunity Master Fund III LP</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FT SOF XIII (SPAC) Holdings LLC</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24,225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24,225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Boston Patriot Merrimack St LLC</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96,421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96,421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Camac Fund LP</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Exos Collateralized SPAC Holdings Fund LP</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AQR Absolute Return Master Account LP</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AQR SPAC Opportunities Offshore Fund LP</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AQR TA Global Alpha Fund LP</w:t>
            </w:r>
            <w:r>
              <w:rPr>
                <w:spacing w:val="3"/>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AQR Funds – AQR Diversified Arbitrage Fund</w:t>
            </w:r>
            <w:r>
              <w:rPr>
                <w:spacing w:val="3"/>
                <w:sz w:val="13"/>
              </w:rPr>
              <w:t>(18)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46,529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46,529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AQR Global Alternative Investment Offshore Fund LP- </w:t>
            </w:r>
            <w:r>
              <w:rPr/>
              <w:br/>
            </w:r>
            <w:r>
              <w:rPr>
                <w:spacing w:val="4"/>
              </w:rPr>
              <w:t>SPACs Sleeve</w:t>
            </w:r>
            <w:r>
              <w:rPr>
                <w:spacing w:val="3"/>
                <w:szCs w:val="13"/>
              </w:rPr>
              <w:t>﻿</w:t>
            </w:r>
            <w:r>
              <w:rPr>
                <w:spacing w:val="3"/>
                <w:sz w:val="13"/>
              </w:rPr>
              <w:t>(19)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62,275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62,275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James Lee Lapp</w:t>
            </w:r>
            <w:r>
              <w:rPr>
                <w:spacing w:val="3"/>
                <w:sz w:val="13"/>
              </w:rPr>
              <w:t>(20)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Perga Capital Partners LP</w:t>
            </w:r>
            <w:r>
              <w:rPr>
                <w:spacing w:val="3"/>
                <w:sz w:val="13"/>
              </w:rPr>
              <w:t>(21)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TQ Master Fund LP</w:t>
            </w:r>
            <w:r>
              <w:rPr>
                <w:spacing w:val="3"/>
                <w:sz w:val="13"/>
              </w:rPr>
              <w:t>(22)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RLH SPAC Fund LP</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BoothBay Absolute Return Strategies LP</w:t>
            </w:r>
            <w:r>
              <w:rPr>
                <w:spacing w:val="3"/>
                <w:sz w:val="13"/>
              </w:rPr>
              <w:t>(24)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33,733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33,733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Boothbay Diversified Alpha Master Fund LP</w:t>
            </w:r>
            <w:r>
              <w:rPr>
                <w:spacing w:val="3"/>
                <w:sz w:val="13"/>
              </w:rPr>
              <w:t>(25)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Sandia Crest LP</w:t>
            </w:r>
            <w:r>
              <w:rPr>
                <w:spacing w:val="3"/>
                <w:sz w:val="13"/>
              </w:rPr>
              <w:t>(26)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17,993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17,993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Crestline Summit Master SPC – Peak SP</w:t>
            </w:r>
            <w:r>
              <w:rPr>
                <w:spacing w:val="3"/>
                <w:sz w:val="13"/>
              </w:rPr>
              <w:t>(27)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ind w:left="200" w:right="0" w:hanging="200"/>
              <w:jc w:val="left"/>
              <w:rPr/>
            </w:pPr>
            <w:r>
              <w:rPr>
                <w:spacing w:val="4"/>
              </w:rPr>
              <w:t>Crestline Summit Master SPC – Crestline Summit APEX SP</w:t>
            </w:r>
            <w:r>
              <w:rPr>
                <w:spacing w:val="3"/>
                <w:szCs w:val="13"/>
              </w:rPr>
              <w:t>﻿</w:t>
            </w:r>
            <w:r>
              <w:rPr>
                <w:spacing w:val="3"/>
                <w:sz w:val="13"/>
              </w:rPr>
              <w:t>(28)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Walleye Opportunities Master Fund Ltd</w:t>
            </w:r>
            <w:r>
              <w:rPr>
                <w:spacing w:val="3"/>
                <w:sz w:val="13"/>
              </w:rPr>
              <w:t>(29)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Walleye Investments Fund LLC</w:t>
            </w:r>
            <w:r>
              <w:rPr>
                <w:spacing w:val="3"/>
                <w:sz w:val="13"/>
              </w:rPr>
              <w:t>(30)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Tenor Opportunity Master Fund Ltd</w:t>
            </w:r>
            <w:r>
              <w:rPr>
                <w:spacing w:val="3"/>
                <w:sz w:val="13"/>
              </w:rPr>
              <w:t>(31)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Fifth Lane Partners Fund LP</w:t>
            </w:r>
            <w:r>
              <w:rPr>
                <w:spacing w:val="3"/>
                <w:sz w:val="13"/>
              </w:rPr>
              <w:t>(32)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Auto King International Limited</w:t>
            </w:r>
            <w:r>
              <w:rPr>
                <w:spacing w:val="3"/>
                <w:sz w:val="13"/>
              </w:rPr>
              <w:t>(33)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18,195,281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18,195,281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Brilliant Cut Limited</w:t>
            </w:r>
            <w:r>
              <w:rPr>
                <w:spacing w:val="3"/>
                <w:sz w:val="13"/>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1,362,369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1,362,369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Daily Charm Holdings Limited</w:t>
            </w:r>
            <w:r>
              <w:rPr>
                <w:spacing w:val="3"/>
                <w:sz w:val="13"/>
              </w:rPr>
              <w:t>(35)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1,329,505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1,329,505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Cosmic Discovery Limited</w:t>
            </w:r>
            <w:r>
              <w:rPr>
                <w:spacing w:val="3"/>
                <w:sz w:val="13"/>
              </w:rPr>
              <w:t>(36)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765,181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765,181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Rainbow Avenue Limited</w:t>
            </w:r>
            <w:r>
              <w:rPr>
                <w:spacing w:val="3"/>
                <w:sz w:val="13"/>
              </w:rPr>
              <w:t>(37)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697,840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697,840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Mighty Sino International Limited</w:t>
            </w:r>
            <w:r>
              <w:rPr>
                <w:spacing w:val="3"/>
                <w:sz w:val="13"/>
              </w:rPr>
              <w:t>(38)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697,083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697,083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057"/>
        <w:gridCol w:w="109"/>
        <w:gridCol w:w="109"/>
        <w:gridCol w:w="109"/>
        <w:gridCol w:w="109"/>
        <w:gridCol w:w="1186"/>
        <w:gridCol w:w="109"/>
        <w:gridCol w:w="109"/>
        <w:gridCol w:w="109"/>
        <w:gridCol w:w="109"/>
        <w:gridCol w:w="109"/>
        <w:gridCol w:w="526"/>
        <w:gridCol w:w="109"/>
        <w:gridCol w:w="109"/>
        <w:gridCol w:w="109"/>
        <w:gridCol w:w="109"/>
        <w:gridCol w:w="109"/>
        <w:gridCol w:w="1186"/>
        <w:gridCol w:w="109"/>
        <w:gridCol w:w="109"/>
        <w:gridCol w:w="109"/>
        <w:gridCol w:w="153"/>
        <w:gridCol w:w="153"/>
        <w:gridCol w:w="489"/>
        <w:gridCol w:w="154"/>
        <w:gridCol w:w="109"/>
        <w:gridCol w:w="109"/>
        <w:gridCol w:w="109"/>
        <w:gridCol w:w="109"/>
        <w:gridCol w:w="348"/>
        <w:gridCol w:w="109"/>
        <w:gridCol w:w="162"/>
      </w:tblGrid>
      <w:tr>
        <w:trPr/>
        <w:tc>
          <w:tcPr>
            <w:tcW w:w="20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Securities</w:t>
            </w:r>
            <w:r>
              <w:rPr/>
              <w:t xml:space="preserve"> </w:t>
              <w:br/>
            </w:r>
            <w:r>
              <w:rPr>
                <w:spacing w:val="-3"/>
              </w:rPr>
              <w:t>beneficially</w:t>
            </w:r>
            <w:r>
              <w:rPr/>
              <w:t xml:space="preserve"> </w:t>
              <w:br/>
            </w:r>
            <w:r>
              <w:rPr>
                <w:spacing w:val="-3"/>
              </w:rPr>
              <w:t>owned prior to this</w:t>
            </w:r>
            <w:r>
              <w:rPr/>
              <w:t xml:space="preserve"> </w:t>
              <w:br/>
            </w:r>
            <w:r>
              <w:rPr>
                <w:spacing w:val="-3"/>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Securities to</w:t>
            </w:r>
            <w:r>
              <w:rPr/>
              <w:t xml:space="preserve"> </w:t>
              <w:br/>
            </w:r>
            <w:r>
              <w:rPr>
                <w:spacing w:val="-3"/>
              </w:rPr>
              <w:t>be sold in this</w:t>
            </w:r>
            <w:r>
              <w:rPr/>
              <w:t xml:space="preserve"> </w:t>
              <w:br/>
            </w:r>
            <w:r>
              <w:rPr>
                <w:spacing w:val="-3"/>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2"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Securities</w:t>
            </w:r>
            <w:r>
              <w:rPr/>
              <w:t xml:space="preserve"> </w:t>
              <w:br/>
            </w:r>
            <w:r>
              <w:rPr>
                <w:spacing w:val="-3"/>
              </w:rPr>
              <w:t>beneficially</w:t>
            </w:r>
            <w:r>
              <w:rPr/>
              <w:t xml:space="preserve"> </w:t>
              <w:br/>
            </w:r>
            <w:r>
              <w:rPr>
                <w:spacing w:val="-3"/>
              </w:rPr>
              <w:t>owned after this</w:t>
            </w:r>
            <w:r>
              <w:rPr/>
              <w:t xml:space="preserve"> </w:t>
              <w:br/>
            </w:r>
            <w:r>
              <w:rPr>
                <w:spacing w:val="-3"/>
              </w:rPr>
              <w:t xml:space="preserve">offering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05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Selling Securityholder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Ordinary</w:t>
            </w:r>
            <w:r>
              <w:rPr/>
              <w:t xml:space="preserve"> </w:t>
              <w:br/>
            </w:r>
            <w:r>
              <w:rPr>
                <w:spacing w:val="-3"/>
              </w:rPr>
              <w:t>Shares</w:t>
            </w:r>
            <w:r>
              <w:rPr>
                <w:spacing w:val="-2"/>
                <w:sz w:val="10"/>
              </w:rPr>
              <w:t>(1)(2)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w:t>
            </w:r>
            <w:r>
              <w:rPr>
                <w:spacing w:val="-2"/>
                <w:sz w:val="10"/>
              </w:rPr>
              <w:t>(1)(2)</w:t>
            </w:r>
            <w:r>
              <w:rP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Pride Supreme Limited</w:t>
            </w:r>
            <w:r>
              <w:rPr>
                <w:spacing w:val="3"/>
                <w:sz w:val="13"/>
              </w:rPr>
              <w:t>(39)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480,283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480,283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Good Hero Global Limited</w:t>
            </w:r>
            <w:r>
              <w:rPr>
                <w:spacing w:val="3"/>
                <w:sz w:val="13"/>
              </w:rPr>
              <w:t>(40)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389,738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389,738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Tiger Goal Limited</w:t>
            </w:r>
            <w:r>
              <w:rPr>
                <w:spacing w:val="3"/>
                <w:sz w:val="13"/>
              </w:rPr>
              <w:t>(41)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293,349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293,349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Major Delight Limited</w:t>
            </w:r>
            <w:r>
              <w:rPr>
                <w:spacing w:val="3"/>
                <w:sz w:val="13"/>
              </w:rPr>
              <w:t>(42)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145,410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145,410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Success Avenue Limited</w:t>
            </w:r>
            <w:r>
              <w:rPr>
                <w:spacing w:val="3"/>
                <w:sz w:val="13"/>
              </w:rPr>
              <w:t>(43)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Grand Fortune Capital (H.K.) Company Limited</w:t>
            </w:r>
            <w:r>
              <w:rPr>
                <w:spacing w:val="3"/>
                <w:sz w:val="13"/>
              </w:rPr>
              <w:t>(44)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2,464,985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2,464,985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Grand Fortune Capital, LLC</w:t>
            </w:r>
            <w:r>
              <w:rPr>
                <w:spacing w:val="3"/>
                <w:sz w:val="13"/>
              </w:rPr>
              <w:t>(44)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Courage Elite Limited</w:t>
            </w:r>
            <w:r>
              <w:rPr>
                <w:spacing w:val="3"/>
                <w:sz w:val="13"/>
              </w:rPr>
              <w:t>(45)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512,848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512,848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China Venture Capital (Hong Kong) Co., Limited</w:t>
            </w:r>
            <w:r>
              <w:rPr>
                <w:spacing w:val="3"/>
                <w:sz w:val="13"/>
              </w:rPr>
              <w:t>(46)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256,425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256,425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IPE Group Limited</w:t>
            </w:r>
            <w:r>
              <w:rPr>
                <w:spacing w:val="3"/>
                <w:sz w:val="13"/>
              </w:rPr>
              <w:t>(47)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256,425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256,425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Weitian Limited</w:t>
            </w:r>
            <w:r>
              <w:rPr>
                <w:spacing w:val="3"/>
                <w:sz w:val="13"/>
              </w:rPr>
              <w:t>(48)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lineRule="atLeast" w:line="142" w:before="0" w:after="0"/>
              <w:jc w:val="left"/>
              <w:rPr/>
            </w:pPr>
            <w:r>
              <w:rPr>
                <w:spacing w:val="4"/>
              </w:rPr>
              <w:t>J.V.B. Financial Group, LLC</w:t>
            </w:r>
            <w:r>
              <w:rPr>
                <w:spacing w:val="3"/>
                <w:sz w:val="13"/>
              </w:rPr>
              <w:t>(49)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526" w:type="dxa"/>
            <w:tcBorders>
              <w:bottom w:val="double" w:sz="8" w:space="0" w:color="000000"/>
            </w:tcBorders>
            <w:tcMar>
              <w:bottom w:w="5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bottom w:val="double" w:sz="8" w:space="0" w:color="000000"/>
            </w:tcBorders>
            <w:tcMar>
              <w:bottom w:w="50" w:type="dxa"/>
            </w:tcMar>
            <w:vAlign w:val="center"/>
          </w:tcPr>
          <w:p>
            <w:pPr>
              <w:pStyle w:val="TableContents"/>
              <w:bidi w:val="0"/>
              <w:spacing w:before="0" w:after="283"/>
              <w:jc w:val="right"/>
              <w:rPr/>
            </w:pPr>
            <w:r>
              <w:rPr/>
              <w:t>​</w:t>
            </w:r>
          </w:p>
        </w:tc>
        <w:tc>
          <w:tcPr>
            <w:tcW w:w="489" w:type="dxa"/>
            <w:tcBorders>
              <w:bottom w:val="double" w:sz="8" w:space="0" w:color="000000"/>
            </w:tcBorders>
            <w:tcMar>
              <w:bottom w:w="5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348"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34,415,562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26" w:type="dxa"/>
            <w:tcBorders>
              <w:bottom w:val="double" w:sz="8" w:space="0" w:color="000000"/>
            </w:tcBorders>
            <w:shd w:fill="CCEEFF" w:val="clear"/>
            <w:tcMar>
              <w:bottom w:w="50" w:type="dxa"/>
            </w:tcMar>
            <w:vAlign w:val="center"/>
          </w:tcPr>
          <w:p>
            <w:pPr>
              <w:pStyle w:val="TableContents"/>
              <w:bidi w:val="0"/>
              <w:spacing w:before="0" w:after="283"/>
              <w:jc w:val="right"/>
              <w:rPr/>
            </w:pPr>
            <w:r>
              <w:rPr/>
              <w:t>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34,415,562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8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34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8812" w:type="dxa"/>
            <w:gridSpan w:val="32"/>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representing shareholding less than 0.01% </w:t>
      </w:r>
      <w:r>
        <mc:AlternateContent>
          <mc:Choice Requires="wps">
            <w:drawing>
              <wp:anchor behindDoc="0" distT="9271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beneficial ownership is calculated based on 37,015,899 Ordinary Shares outstanding on the date of this prospectus, assuming the full conversion of the GFC Shares into 290,000 Ordinary Shares, and does not include 11,500,000 Ordinary Shares issuable upon the exercise of outstanding warrants. </w:t>
      </w:r>
      <w:r>
        <mc:AlternateContent>
          <mc:Choice Requires="wps">
            <w:drawing>
              <wp:anchor behindDoc="0" distT="4191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3pt;mso-wrap-distance-bottom:0pt;margin-top:3.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the sale of all Registered Securities offered in this prospectus. </w:t>
      </w:r>
      <w:r>
        <mc:AlternateContent>
          <mc:Choice Requires="wps">
            <w:drawing>
              <wp:anchor behindDoc="0" distT="4064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sponsor is managed by Grand Fortune Capital, LLC. Grand Fortune Capital (H.K.) Company Limited (“Grand Fortune”) controls Grand Fortune Capital, LLC (“GFC”) and is managed by an investment committee (“GFCHK Investment Committee”) consisting of three members, Goh Lin Piao, James Ouyang and Ralph Cho. Any action by GFC with respect to shares of ExcelFin Class A Common Stock held directly by the sponsor, including voting and dispositive decisions, requires at least a majority vote of the members of the GFCHK Investment Committee. Each member of the GFCHK Investment Committee disclaims beneficial ownership of the shares held by GFC. </w:t>
      </w:r>
      <w:r>
        <mc:AlternateContent>
          <mc:Choice Requires="wps">
            <w:drawing>
              <wp:anchor behindDoc="0" distT="4064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Nautilus Master Fund LP is c/o Periscope Capital Inc, Bay Adelaide Centre 333 Bay St, Ste 1240, Toronto ON M5H 2R2, Canada. </w:t>
      </w:r>
      <w:r>
        <mc:AlternateContent>
          <mc:Choice Requires="wps">
            <w:drawing>
              <wp:anchor behindDoc="0" distT="4064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Highbridge Tactical Credit Master Fund LP is c/o Highbridge Capital Management LLC, 277 Park Ave, 23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Floor, New York, NY 10172. </w:t>
      </w:r>
      <w:r>
        <mc:AlternateContent>
          <mc:Choice Requires="wps">
            <w:drawing>
              <wp:anchor behindDoc="0" distT="4064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Highbridge Tactical Credit Institutional Fund Ltd is c/o Highbridge Capital Management LLC, 277 Park Ave, 23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Floor, New York, NY 10172. </w:t>
      </w:r>
      <w:r>
        <mc:AlternateContent>
          <mc:Choice Requires="wps">
            <w:drawing>
              <wp:anchor behindDoc="0" distT="4064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Radcliffe SPAC Master Fund LP is c/o Radcliffe Capital Management LP, 50 Monument Road, Suite 300, Bala Cynwyd, PA 19004. </w:t>
      </w:r>
      <w:r>
        <mc:AlternateContent>
          <mc:Choice Requires="wps">
            <w:drawing>
              <wp:anchor behindDoc="0" distT="4064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Fir Tree Value Master Fund LP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4064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Fir Tree Capital Opportunity Master Fund LP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4064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Fir Tree Capital Opportunity Master Fund III LP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83820" distB="0" distL="0" distR="0" simplePos="0" locked="0" layoutInCell="1" allowOverlap="1" relativeHeight="113">
                <wp:simplePos x="0" y="0"/>
                <wp:positionH relativeFrom="column">
                  <wp:align>left</wp:align>
                </wp:positionH>
                <wp:positionV relativeFrom="line">
                  <wp:align>top</wp:align>
                </wp:positionV>
                <wp:extent cx="254000" cy="52578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FT SOF XIII (SPAC) Holdings LLC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99060" distB="0" distL="0" distR="0" simplePos="0" locked="0" layoutInCell="1" allowOverlap="1" relativeHeight="114">
                <wp:simplePos x="0" y="0"/>
                <wp:positionH relativeFrom="column">
                  <wp:align>left</wp:align>
                </wp:positionH>
                <wp:positionV relativeFrom="line">
                  <wp:align>top</wp:align>
                </wp:positionV>
                <wp:extent cx="254000" cy="52578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Boston Patriot Merrimack St LLC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254000" cy="52578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Camac Fund LP is 2 Pheasant Ridge Road, Ossining, NY 10562. </w:t>
      </w:r>
      <w:r>
        <mc:AlternateContent>
          <mc:Choice Requires="wps">
            <w:drawing>
              <wp:anchor behindDoc="0" distT="99060" distB="0" distL="0" distR="0" simplePos="0" locked="0" layoutInCell="1" allowOverlap="1" relativeHeight="116">
                <wp:simplePos x="0" y="0"/>
                <wp:positionH relativeFrom="column">
                  <wp:align>left</wp:align>
                </wp:positionH>
                <wp:positionV relativeFrom="line">
                  <wp:align>top</wp:align>
                </wp:positionV>
                <wp:extent cx="254000" cy="52578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registered address of Exos Collateralized SPAC Holdings Fund LP is 31 East 32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xml:space="preserve"> Street, Third Floor, New York, NY 10016. </w:t>
      </w:r>
      <w:r>
        <mc:AlternateContent>
          <mc:Choice Requires="wps">
            <w:drawing>
              <wp:anchor behindDoc="0" distT="99060" distB="0" distL="0" distR="0" simplePos="0" locked="0" layoutInCell="1" allowOverlap="1" relativeHeight="117">
                <wp:simplePos x="0" y="0"/>
                <wp:positionH relativeFrom="column">
                  <wp:align>left</wp:align>
                </wp:positionH>
                <wp:positionV relativeFrom="line">
                  <wp:align>top</wp:align>
                </wp:positionV>
                <wp:extent cx="254000" cy="52578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Absolute Return Master Account LP is One Greenwich Plaza, Suite 130, Greenwich, CT 06830. </w:t>
      </w:r>
      <w:r>
        <mc:AlternateContent>
          <mc:Choice Requires="wps">
            <w:drawing>
              <wp:anchor behindDoc="0" distT="99060" distB="0" distL="0" distR="0" simplePos="0" locked="0" layoutInCell="1" allowOverlap="1" relativeHeight="118">
                <wp:simplePos x="0" y="0"/>
                <wp:positionH relativeFrom="column">
                  <wp:align>left</wp:align>
                </wp:positionH>
                <wp:positionV relativeFrom="line">
                  <wp:align>top</wp:align>
                </wp:positionV>
                <wp:extent cx="254000" cy="52578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SPAC Opportunities Offshore Fund LP is One Greenwich Plaza, Suite 130, Greenwich, CT 06830. </w:t>
      </w:r>
      <w:r>
        <mc:AlternateContent>
          <mc:Choice Requires="wps">
            <w:drawing>
              <wp:anchor behindDoc="0" distT="99060" distB="0" distL="0" distR="0" simplePos="0" locked="0" layoutInCell="1" allowOverlap="1" relativeHeight="119">
                <wp:simplePos x="0" y="0"/>
                <wp:positionH relativeFrom="column">
                  <wp:align>left</wp:align>
                </wp:positionH>
                <wp:positionV relativeFrom="line">
                  <wp:align>top</wp:align>
                </wp:positionV>
                <wp:extent cx="254000" cy="52578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TA Global Alpha Fund LP is One Greenwich Plaza, Suite 130, Greenwich, CT 06830. </w:t>
      </w:r>
      <w:r>
        <mc:AlternateContent>
          <mc:Choice Requires="wps">
            <w:drawing>
              <wp:anchor behindDoc="0" distT="99060" distB="0" distL="0" distR="0" simplePos="0" locked="0" layoutInCell="1" allowOverlap="1" relativeHeight="120">
                <wp:simplePos x="0" y="0"/>
                <wp:positionH relativeFrom="column">
                  <wp:align>left</wp:align>
                </wp:positionH>
                <wp:positionV relativeFrom="line">
                  <wp:align>top</wp:align>
                </wp:positionV>
                <wp:extent cx="254000" cy="52578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Funds — AQR Diversified Arbitrage Fund is One Greenwich Plaza, Suite 130, Greenwich, CT 06830. </w:t>
      </w:r>
      <w:r>
        <mc:AlternateContent>
          <mc:Choice Requires="wps">
            <w:drawing>
              <wp:anchor behindDoc="0" distT="99060" distB="0" distL="0" distR="0" simplePos="0" locked="0" layoutInCell="1" allowOverlap="1" relativeHeight="121">
                <wp:simplePos x="0" y="0"/>
                <wp:positionH relativeFrom="column">
                  <wp:align>left</wp:align>
                </wp:positionH>
                <wp:positionV relativeFrom="line">
                  <wp:align>top</wp:align>
                </wp:positionV>
                <wp:extent cx="254000" cy="52578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Global Alternative Investment Offshore Fund LP — SPACs Sleeve is One Greenwich Plaza, Suite 130, Greenwich, CT 06830. </w:t>
      </w:r>
      <w:r>
        <mc:AlternateContent>
          <mc:Choice Requires="wps">
            <w:drawing>
              <wp:anchor behindDoc="0" distT="99060" distB="0" distL="0" distR="0" simplePos="0" locked="0" layoutInCell="1" allowOverlap="1" relativeHeight="122">
                <wp:simplePos x="0" y="0"/>
                <wp:positionH relativeFrom="column">
                  <wp:align>left</wp:align>
                </wp:positionH>
                <wp:positionV relativeFrom="line">
                  <wp:align>top</wp:align>
                </wp:positionV>
                <wp:extent cx="254000" cy="52578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James Lee Lapp is 26 Amberley Court, Richmond, RI 02812. </w:t>
      </w:r>
      <w:r>
        <mc:AlternateContent>
          <mc:Choice Requires="wps">
            <w:drawing>
              <wp:anchor behindDoc="0" distT="99060" distB="0" distL="0" distR="0" simplePos="0" locked="0" layoutInCell="1" allowOverlap="1" relativeHeight="123">
                <wp:simplePos x="0" y="0"/>
                <wp:positionH relativeFrom="column">
                  <wp:align>left</wp:align>
                </wp:positionH>
                <wp:positionV relativeFrom="line">
                  <wp:align>top</wp:align>
                </wp:positionV>
                <wp:extent cx="254000" cy="52578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Perga Capital Partners LP is 1000 Biscayne Blvd, Apt 1501, Miami, FL 33132. </w:t>
      </w:r>
      <w:r>
        <mc:AlternateContent>
          <mc:Choice Requires="wps">
            <w:drawing>
              <wp:anchor behindDoc="0" distT="99060" distB="0" distL="0" distR="0" simplePos="0" locked="0" layoutInCell="1" allowOverlap="1" relativeHeight="124">
                <wp:simplePos x="0" y="0"/>
                <wp:positionH relativeFrom="column">
                  <wp:align>left</wp:align>
                </wp:positionH>
                <wp:positionV relativeFrom="line">
                  <wp:align>top</wp:align>
                </wp:positionV>
                <wp:extent cx="254000" cy="52578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TQ Master Fund LP is 331 Park Ave S, Third Floor, New York, NY 10010. </w:t>
      </w:r>
      <w:r>
        <mc:AlternateContent>
          <mc:Choice Requires="wps">
            <w:drawing>
              <wp:anchor behindDoc="0" distT="99060" distB="0" distL="0" distR="0" simplePos="0" locked="0" layoutInCell="1" allowOverlap="1" relativeHeight="125">
                <wp:simplePos x="0" y="0"/>
                <wp:positionH relativeFrom="column">
                  <wp:align>left</wp:align>
                </wp:positionH>
                <wp:positionV relativeFrom="line">
                  <wp:align>top</wp:align>
                </wp:positionV>
                <wp:extent cx="254000" cy="52578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RLH SPAC Fund LP is 119 Hicks Lane, Great Neck, NY 11024. </w:t>
      </w:r>
      <w:r>
        <mc:AlternateContent>
          <mc:Choice Requires="wps">
            <w:drawing>
              <wp:anchor behindDoc="0" distT="99060" distB="0" distL="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registered address of BoothBay Absolute Return Strategies LP is 140 East 45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Street, New York, NY 10017. </w:t>
      </w:r>
      <w:r>
        <mc:AlternateContent>
          <mc:Choice Requires="wps">
            <w:drawing>
              <wp:anchor behindDoc="0" distT="99060" distB="0" distL="0" distR="0" simplePos="0" locked="0" layoutInCell="1" allowOverlap="1" relativeHeight="127">
                <wp:simplePos x="0" y="0"/>
                <wp:positionH relativeFrom="column">
                  <wp:align>left</wp:align>
                </wp:positionH>
                <wp:positionV relativeFrom="line">
                  <wp:align>top</wp:align>
                </wp:positionV>
                <wp:extent cx="254000" cy="52578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registered address of Boothbay Diversified Alpha Master Fund LP is 140 East 45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Street, New York, NY 10017. </w:t>
      </w:r>
      <w:r>
        <mc:AlternateContent>
          <mc:Choice Requires="wps">
            <w:drawing>
              <wp:anchor behindDoc="0" distT="99060" distB="0" distL="0" distR="0" simplePos="0" locked="0" layoutInCell="1" allowOverlap="1" relativeHeight="128">
                <wp:simplePos x="0" y="0"/>
                <wp:positionH relativeFrom="column">
                  <wp:align>left</wp:align>
                </wp:positionH>
                <wp:positionV relativeFrom="line">
                  <wp:align>top</wp:align>
                </wp:positionV>
                <wp:extent cx="254000" cy="52578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Sandia Crest LP is 201 Washington Street, Suite 2600, Boston, MA 02108. </w:t>
      </w:r>
      <w:r>
        <mc:AlternateContent>
          <mc:Choice Requires="wps">
            <w:drawing>
              <wp:anchor behindDoc="0" distT="99060" distB="0" distL="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Crestline Summit Master SPC — Peak SP is 201 Main Street, Fort Worth, TX 76102. </w:t>
      </w:r>
      <w:r>
        <mc:AlternateContent>
          <mc:Choice Requires="wps">
            <w:drawing>
              <wp:anchor behindDoc="0" distT="99060" distB="0" distL="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Crestline Summit Master SPC — Crestline Summit APEX SP is 201 Main Street, Fort Worth, TX 76102. </w:t>
      </w:r>
      <w:r>
        <mc:AlternateContent>
          <mc:Choice Requires="wps">
            <w:drawing>
              <wp:anchor behindDoc="0" distT="99060" distB="0" distL="0" distR="0" simplePos="0" locked="0" layoutInCell="1" allowOverlap="1" relativeHeight="131">
                <wp:simplePos x="0" y="0"/>
                <wp:positionH relativeFrom="column">
                  <wp:align>left</wp:align>
                </wp:positionH>
                <wp:positionV relativeFrom="line">
                  <wp:align>top</wp:align>
                </wp:positionV>
                <wp:extent cx="254000" cy="52578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Walleye Opportunities Master Fund Ltd is 2800 Niagara Lane North, Plymouth, MN 55448. </w:t>
      </w:r>
      <w:r>
        <mc:AlternateContent>
          <mc:Choice Requires="wps">
            <w:drawing>
              <wp:anchor behindDoc="0" distT="99060" distB="0" distL="0" distR="0" simplePos="0" locked="0" layoutInCell="1" allowOverlap="1" relativeHeight="132">
                <wp:simplePos x="0" y="0"/>
                <wp:positionH relativeFrom="column">
                  <wp:align>left</wp:align>
                </wp:positionH>
                <wp:positionV relativeFrom="line">
                  <wp:align>top</wp:align>
                </wp:positionV>
                <wp:extent cx="254000" cy="52578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Walleye Investments Fund LLC is 2800 Niagara Lane North, Plymouth, MN 55447. </w:t>
      </w:r>
      <w:r>
        <mc:AlternateContent>
          <mc:Choice Requires="wps">
            <w:drawing>
              <wp:anchor behindDoc="0" distT="100330" distB="0" distL="0" distR="0" simplePos="0" locked="0" layoutInCell="1" allowOverlap="1" relativeHeight="133">
                <wp:simplePos x="0" y="0"/>
                <wp:positionH relativeFrom="column">
                  <wp:align>left</wp:align>
                </wp:positionH>
                <wp:positionV relativeFrom="line">
                  <wp:align>top</wp:align>
                </wp:positionV>
                <wp:extent cx="254000" cy="525780"/>
                <wp:effectExtent l="0" t="0" r="0" b="0"/>
                <wp:wrapSquare wrapText="right"/>
                <wp:docPr id="131" name="Frame1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Tenor Opportunity Master Fund Ltd is c/o Tenor Capital, 810 Seventh Ave, Suite 1905, New York, NY 10019. </w:t>
      </w:r>
      <w:r>
        <mc:AlternateContent>
          <mc:Choice Requires="wps">
            <w:drawing>
              <wp:anchor behindDoc="0" distT="100330" distB="0" distL="0" distR="0" simplePos="0" locked="0" layoutInCell="1" allowOverlap="1" relativeHeight="134">
                <wp:simplePos x="0" y="0"/>
                <wp:positionH relativeFrom="column">
                  <wp:align>left</wp:align>
                </wp:positionH>
                <wp:positionV relativeFrom="line">
                  <wp:align>top</wp:align>
                </wp:positionV>
                <wp:extent cx="254000" cy="525780"/>
                <wp:effectExtent l="0" t="0" r="0" b="0"/>
                <wp:wrapSquare wrapText="right"/>
                <wp:docPr id="132" name="Frame1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Fifth Lane Partners Fund LP is 3300 N IH-35, Suite 380, Austin, TX 78705. </w:t>
      </w:r>
      <w:r>
        <mc:AlternateContent>
          <mc:Choice Requires="wps">
            <w:drawing>
              <wp:anchor behindDoc="0" distT="100330" distB="0" distL="0" distR="0" simplePos="0" locked="0" layoutInCell="1" allowOverlap="1" relativeHeight="135">
                <wp:simplePos x="0" y="0"/>
                <wp:positionH relativeFrom="column">
                  <wp:align>left</wp:align>
                </wp:positionH>
                <wp:positionV relativeFrom="line">
                  <wp:align>top</wp:align>
                </wp:positionV>
                <wp:extent cx="254000" cy="525780"/>
                <wp:effectExtent l="0" t="0" r="0" b="0"/>
                <wp:wrapSquare wrapText="right"/>
                <wp:docPr id="133" name="Frame1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(32)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Auto King International Limited is a company incorporated under the laws of the British Virgin Islands. The registered address of Auto King International Limited is Vistra Corporate Services Centre, Wickhams Cay II, Road Town, Tortola VG1110, BVI. Auto King International Limited is a holding company controlled by Ms. Wu, the founder of the PRC operating entities of our Company. Auto King International Limited acquired its shareholding in Betters Medical in 2021 in relation to the reorganization of the PRC operating entities of Betters Medical and the inception of Betters Medical as a holding company. </w:t>
      </w:r>
      <w:r>
        <mc:AlternateContent>
          <mc:Choice Requires="wps">
            <w:drawing>
              <wp:anchor behindDoc="0" distT="99060" distB="0" distL="0" distR="0" simplePos="0" locked="0" layoutInCell="1" allowOverlap="1" relativeHeight="136">
                <wp:simplePos x="0" y="0"/>
                <wp:positionH relativeFrom="column">
                  <wp:align>left</wp:align>
                </wp:positionH>
                <wp:positionV relativeFrom="line">
                  <wp:align>top</wp:align>
                </wp:positionV>
                <wp:extent cx="254000" cy="525780"/>
                <wp:effectExtent l="0" t="0" r="0" b="0"/>
                <wp:wrapSquare wrapText="right"/>
                <wp:docPr id="134" name="Frame1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Brilliant Cut Limited is a company incorporated under the laws of the British Virgin Islands. The registered address of Brilliant Cut Limited is Vistra Corporate Services Centre, Wickhams Cay II, Road Town, Tortola VG1110, BVI. Brilliant Cut Limited is held by two investors who participated in the series A investments in the PRC operating entities of Betters Medical in June 2018. One of the investors further participated in the series B investments in the PRC operating entities of Betters Medical in December 2018. Brilliant Cut Limited acquired its shareholding in Betters Medical in 2021 in relation to the reorganization of the PRC operating entities of Betters Medical and the inception of Betters Medical as a holding company. The 1,362,369 Ordinary Shares of the Company held by Brilliant Cut Limited following the Pro Rata Distribution, taking into account the Business Combination, would be deemed as acquired at a price of approximately RMB1.9 per share.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254000" cy="525780"/>
                <wp:effectExtent l="0" t="0" r="0" b="0"/>
                <wp:wrapSquare wrapText="right"/>
                <wp:docPr id="135" name="Frame13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Daily Charm Holdings Limited is a company incorporated under the laws of the British Virgin Islands. The registered address of Daily Charm Holdings Limited is Vistra Corporate Services Centre, Wickhams Cay II, Road Town, Tortola VG1110, BVI. Daily Charm Holdings Limited is held by an investor who participated in the series A investments and the series B investments in the PRC operating entities of Betters Medical in July 2018 and December 2018, respectively. Daily Charm Holdings Limited acquired its shareholding in Betters Medical in 2021 in relation to the reorganization of the PRC operating entities of Betters Medical and the inception of Betters Medical as a holding company. The 1,329,505 Ordinary Shares of the Company held by Daily Charm Holdings Limited following the Pro Rata Distribution, taking into account the Business Combination, would be deemed as acquired at a price of approximately RMB1.5 per share. </w:t>
      </w:r>
      <w:r>
        <mc:AlternateContent>
          <mc:Choice Requires="wps">
            <w:drawing>
              <wp:anchor behindDoc="0" distT="102870" distB="0" distL="0" distR="0" simplePos="0" locked="0" layoutInCell="1" allowOverlap="1" relativeHeight="138">
                <wp:simplePos x="0" y="0"/>
                <wp:positionH relativeFrom="column">
                  <wp:align>left</wp:align>
                </wp:positionH>
                <wp:positionV relativeFrom="line">
                  <wp:align>top</wp:align>
                </wp:positionV>
                <wp:extent cx="254000" cy="525780"/>
                <wp:effectExtent l="0" t="0" r="0" b="0"/>
                <wp:wrapSquare wrapText="right"/>
                <wp:docPr id="136" name="Frame13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Cosmic Discovery Limited is a company incorporated under the laws of the British Virgin Islands. The registered address of Cosmic Discovery Limited is Vistra Corporate Services Centre, Wickhams Cay II, Road Town, Tortola VG1110, BVI. Cosmic Discovery Limited is held by two investors who participated in the series A investments in the PRC operating entities of Betters Medical in August 2018. Cosmic Discovery Limited acquired its shareholding in Betters Medical in 2021 in relation to the reorganization of the PRC operating entities of Betters Medical and the inception of Betters Medical as a holding company. The 765,181 Ordinary Shares of the Company held by Cosmic Discovery Limited following the Pro Rata Distribution, taking into account the Business Combination, would be deemed as acquired at a price of approximately RMB1.4 per share. </w:t>
      </w:r>
      <w:r>
        <mc:AlternateContent>
          <mc:Choice Requires="wps">
            <w:drawing>
              <wp:anchor behindDoc="0" distT="101600" distB="0" distL="0" distR="0" simplePos="0" locked="0" layoutInCell="1" allowOverlap="1" relativeHeight="139">
                <wp:simplePos x="0" y="0"/>
                <wp:positionH relativeFrom="column">
                  <wp:align>left</wp:align>
                </wp:positionH>
                <wp:positionV relativeFrom="line">
                  <wp:align>top</wp:align>
                </wp:positionV>
                <wp:extent cx="254000" cy="525780"/>
                <wp:effectExtent l="0" t="0" r="0" b="0"/>
                <wp:wrapSquare wrapText="right"/>
                <wp:docPr id="137" name="Frame1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Rainbow Avenue Limited is a company incorporated under the laws of the British Virgin Islands. The registered address of Rainbow Avenue Limited is Vistra Corporate Services Centre, Wickhams Cay II, Road Town, Tortola VG1110, BVI. Rainbow Avenue Limited is held by an investor who participated in the series A investments in the PRC operating entities of Betters Medical in August 2018. Rainbow Avenue Limited acquired its shareholding in Betters Medical in 2021 in relation to the reorganization of the PRC operating entities of Betters Medical and the inception of Betters Medical as a holding company. The 697,840 Ordinary Shares of the Company held by Rainbow Avenue Limited following the Pro Rata Distribution, taking into account the Business Combination, would be deemed as acquired at a price of approximately RMB1.4 per share. </w:t>
      </w:r>
      <w:r>
        <mc:AlternateContent>
          <mc:Choice Requires="wps">
            <w:drawing>
              <wp:anchor behindDoc="0" distT="101600" distB="0" distL="0" distR="0" simplePos="0" locked="0" layoutInCell="1" allowOverlap="1" relativeHeight="140">
                <wp:simplePos x="0" y="0"/>
                <wp:positionH relativeFrom="column">
                  <wp:align>left</wp:align>
                </wp:positionH>
                <wp:positionV relativeFrom="line">
                  <wp:align>top</wp:align>
                </wp:positionV>
                <wp:extent cx="254000" cy="525780"/>
                <wp:effectExtent l="0" t="0" r="0" b="0"/>
                <wp:wrapSquare wrapText="right"/>
                <wp:docPr id="138" name="Frame13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Mighty Sino International Limited is a company incorporated under the laws of the British Virgin Islands. The registered address of Mighty Sino International Limited is Vistra Corporate Services Centre, Wickhams Cay II, Road Town, Tortola VG1110, BVI. Mighty Sino International Limited are held by two investors who participated in the series A investments and the series B investments in the PRC operating entities of Betters Medical in June 2018 and December 2018, respectively. Mighty Sino International Limited acquired its shareholding in Betters Medical in 2021 in relation to the reorganization of the PRC operating entities of Betters Medical and the inception of Betters Medical as a holding company. The 697,083 Ordinary Shares of the Company held by Mighty Sino International Limited following the Pro Rata Distribution, taking into account the Business Combination, would be deemed as acquired at a price of approximately RMB2.4 per share. </w:t>
      </w:r>
      <w:r>
        <mc:AlternateContent>
          <mc:Choice Requires="wps">
            <w:drawing>
              <wp:anchor behindDoc="0" distT="101600" distB="0" distL="0" distR="0" simplePos="0" locked="0" layoutInCell="1" allowOverlap="1" relativeHeight="141">
                <wp:simplePos x="0" y="0"/>
                <wp:positionH relativeFrom="column">
                  <wp:align>left</wp:align>
                </wp:positionH>
                <wp:positionV relativeFrom="line">
                  <wp:align>top</wp:align>
                </wp:positionV>
                <wp:extent cx="254000" cy="525780"/>
                <wp:effectExtent l="0" t="0" r="0" b="0"/>
                <wp:wrapSquare wrapText="right"/>
                <wp:docPr id="139" name="Frame13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Pride Supreme Limited is a company incorporated under the laws of the British Virgin Islands. The registered address of Pride Supreme Limited is Vistra Corporate Services Centre, Wickhams Cay II, Road Town, Tortola VG1110, BVI. Pride Supreme Limited is held by an investor who participated in the series A investments in the PRC operating entities of Betters Medical in June 2018. Pride Supreme Limited </w:t>
      </w:r>
      <w:r>
        <mc:AlternateContent>
          <mc:Choice Requires="wps">
            <w:drawing>
              <wp:anchor behindDoc="0" distT="101600" distB="0" distL="0" distR="0" simplePos="0" locked="0" layoutInCell="1" allowOverlap="1" relativeHeight="142">
                <wp:simplePos x="0" y="0"/>
                <wp:positionH relativeFrom="column">
                  <wp:align>left</wp:align>
                </wp:positionH>
                <wp:positionV relativeFrom="line">
                  <wp:align>top</wp:align>
                </wp:positionV>
                <wp:extent cx="254000" cy="525780"/>
                <wp:effectExtent l="0" t="0" r="0" b="0"/>
                <wp:wrapSquare wrapText="right"/>
                <wp:docPr id="140" name="Frame13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acquired its shareholding in Betters Medical in 2021 in relation to the reorganization of the PRC operating entities of Betters Medical and the inception of Betters Medical as a holding company. The 480,283 Ordinary Shares of the Company held by Pride Supreme Limited following the Pro Rata Distribution, taking into account the Business Combination, would be deemed as acquired at a price of approximately RMB1.4 per share. </w:t>
      </w:r>
    </w:p>
    <w:p>
      <w:pPr>
        <w:pStyle w:val="TextBody"/>
        <w:bidi w:val="0"/>
        <w:spacing w:lineRule="atLeast" w:line="240" w:before="15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Good Hero Global Limited is a company incorporated under the laws of the British Virgin Islands. The registered address of Good Hero Global Limited is Vistra Corporate Services Centre, Wickhams Cay II, Road Town, Tortola VG1110, BVI. Good Hero Global Limited is held by two investors who acquired shareholding of the PRC operating entities of Betters Medical from Ms. Haimei Wu in June 2018. Good Hero Global Limited acquired its shareholding in Betters Medical in 2021 in relation to the reorganization of the PRC operating entities of Betters Medical and the inception of Betters Medical as a holding company. The 389,738 Ordinary Shares of the Company held by Good Hero Global Limited following the Pro Rata Distribution, taking into account the Business Combination, would be deemed as acquired at a price of approximately RMB1.9 per share. </w:t>
      </w:r>
      <w:r>
        <mc:AlternateContent>
          <mc:Choice Requires="wps">
            <w:drawing>
              <wp:anchor behindDoc="0" distT="97790" distB="0" distL="0" distR="0" simplePos="0" locked="0" layoutInCell="1" allowOverlap="1" relativeHeight="143">
                <wp:simplePos x="0" y="0"/>
                <wp:positionH relativeFrom="column">
                  <wp:align>left</wp:align>
                </wp:positionH>
                <wp:positionV relativeFrom="line">
                  <wp:align>top</wp:align>
                </wp:positionV>
                <wp:extent cx="254000" cy="525780"/>
                <wp:effectExtent l="0" t="0" r="0" b="0"/>
                <wp:wrapSquare wrapText="right"/>
                <wp:docPr id="141" name="Frame1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Tiger Goal Limited is a company incorporated under the laws of the British Virgin Islands. The registered address of Tiger Goal Limited is Vistra Corporate Services Centre, Wickhams Cay II, Road Town, Tortola VG1110, BVI. Tiger Goal Limited is held by an investor who participated in the series B investments in the PRC operating entities of Betters Medical in January 2021. Tiger Goal Limited acquired its shareholding in Betters Medical in 2021 in relation to the reorganization of the PRC operating entities of Betters Medical and the inception of Betters Medical as a holding company. The 293,349 Ordinary Shares of the Company held by Tiger Goal Limited following the Pro Rata Distribution, taking into account the Business Combination, would be deemed as acquired at a price of approximately RMB3.8 per share. </w:t>
      </w:r>
      <w:r>
        <mc:AlternateContent>
          <mc:Choice Requires="wps">
            <w:drawing>
              <wp:anchor behindDoc="0" distT="99060" distB="0" distL="0" distR="0" simplePos="0" locked="0" layoutInCell="1" allowOverlap="1" relativeHeight="144">
                <wp:simplePos x="0" y="0"/>
                <wp:positionH relativeFrom="column">
                  <wp:align>left</wp:align>
                </wp:positionH>
                <wp:positionV relativeFrom="line">
                  <wp:align>top</wp:align>
                </wp:positionV>
                <wp:extent cx="254000" cy="525780"/>
                <wp:effectExtent l="0" t="0" r="0" b="0"/>
                <wp:wrapSquare wrapText="right"/>
                <wp:docPr id="142" name="Frame1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Major Delight Limited is a company incorporated under the laws of the British Virgin Islands. The registered address of Major Delight Limited is Vistra Corporate Services Centre, Wickhams Cay II, Road Town, Tortola VG1110, BVI. Major Delight Limited is held by two investors who participated in the series A investments in the PRC operating entities of Betters Medical in June 2018. Major Delight Limited acquired its shareholding in Betters Medical in 2021 in relation to the reorganization of the PRC operating entities of Betters Medical and the inception of Betters Medical as a holding company. The 145,410 Ordinary Shares of the Company held by Major Delight Limited following the Pro Rata Distribution, taking into account the Business Combination, would be deemed as acquired at a price of approximately RMB1.4 per share. </w:t>
      </w:r>
      <w:r>
        <mc:AlternateContent>
          <mc:Choice Requires="wps">
            <w:drawing>
              <wp:anchor behindDoc="0" distT="99060" distB="0" distL="0" distR="0" simplePos="0" locked="0" layoutInCell="1" allowOverlap="1" relativeHeight="145">
                <wp:simplePos x="0" y="0"/>
                <wp:positionH relativeFrom="column">
                  <wp:align>left</wp:align>
                </wp:positionH>
                <wp:positionV relativeFrom="line">
                  <wp:align>top</wp:align>
                </wp:positionV>
                <wp:extent cx="254000" cy="525780"/>
                <wp:effectExtent l="0" t="0" r="0" b="0"/>
                <wp:wrapSquare wrapText="right"/>
                <wp:docPr id="143" name="Frame14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Success Avenue Limited is a company incorporated under the laws of the British Virgin Islands. The registered address of Success Avenue Limited is Vistra Corporate Services Centre, Wickhams Cay II, Road Town, Tortola VG1110, BVI. Success Avenue Limited is held by an investor who participated in the series B investments in the PRC operating entities of Betters Medical in January 2019. Success Avenue Limited acquired its shareholding in Betters Medical in 2021 in relation to the reorganization of the PRC operating entities of Betters Medical and the inception of Betters Medical as a holding company. The 130,599 Ordinary Shares of the Company held by Success Avenue Limited following the Pro Rata Distribution, taking into account the Business Combination, would be deemed as acquired at a price of approximately RMB4.0 per share. </w:t>
      </w:r>
      <w:r>
        <mc:AlternateContent>
          <mc:Choice Requires="wps">
            <w:drawing>
              <wp:anchor behindDoc="0" distT="99060" distB="0" distL="0" distR="0" simplePos="0" locked="0" layoutInCell="1" allowOverlap="1" relativeHeight="146">
                <wp:simplePos x="0" y="0"/>
                <wp:positionH relativeFrom="column">
                  <wp:align>left</wp:align>
                </wp:positionH>
                <wp:positionV relativeFrom="line">
                  <wp:align>top</wp:align>
                </wp:positionV>
                <wp:extent cx="254000" cy="525780"/>
                <wp:effectExtent l="0" t="0" r="0" b="0"/>
                <wp:wrapSquare wrapText="right"/>
                <wp:docPr id="144" name="Frame14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2,464,985 Ordinary Shares held by Grand Fortune Capital (H.K.) Company Limited (“Grand Fortune”), consisting of 1,881,456 Ordinary Shares held by Grand Fortune after the Pro Rata Distribution and 583,529 Ordinary Shares issued to Grand Fortune at US$6.75 per share; in June 2023, Grand Fortune acquired shareholding of Betters Medical from a previous investor of Betters Medical, which enabled Grand Fortune to received 1,881,456 Ordinary Shares after the Pro Rata Distribution, which, taking into account the Business Combination, would be deemed as acquired at a price of approximately RMB33.5 per share; and (ii) 290,000 GFC Shares; on September 30, 2024, the Company entered into a Subscription Agreement with GFC, pursuant to which the Company issued to GFC at the Closing 290,000 Series A convertible preferred shares, par value US$0.0001 per share, of the Company for a purchase price of $2.9 million. Grand Fortune is a company incorporated under the laws of Hong Kong. The registered address of Grand Fortune is Flat/Rm 2, 5/F, Greenfield Tower, Concordia Plaza, No. 1 Science Museum Road, Tsim Sha Tsui, Kowloon, Hong Kong. GFC is controlled by Grand </w:t>
      </w:r>
      <w:r>
        <mc:AlternateContent>
          <mc:Choice Requires="wps">
            <w:drawing>
              <wp:anchor behindDoc="0" distT="99060" distB="0" distL="0" distR="0" simplePos="0" locked="0" layoutInCell="1" allowOverlap="1" relativeHeight="147">
                <wp:simplePos x="0" y="0"/>
                <wp:positionH relativeFrom="column">
                  <wp:align>left</wp:align>
                </wp:positionH>
                <wp:positionV relativeFrom="line">
                  <wp:align>top</wp:align>
                </wp:positionV>
                <wp:extent cx="254000" cy="525780"/>
                <wp:effectExtent l="0" t="0" r="0" b="0"/>
                <wp:wrapSquare wrapText="right"/>
                <wp:docPr id="145" name="Frame1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Fortune. GFC is a limited liability company organized under the laws of the State of Delaware. The address of GFC is 660 Newport Center Drive, Suite 1250, Newport Beach, CA 92660.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Courage Elite Limited is a company incorporated under the laws of Hong Kong. The registered address of Courage Elite Limited is Unit 3A, Cheong Sun Tower, 116-118 Wing Lok Street, Sheung Wan. Hong Kong. Courage Elite Limited participated in the series C investments in Betters Medical in June 2021. The 512,848 Ordinary Shares of the Company held by Courage Elite Limited following the Pro Rata Distribution, taking into account the Business Combination, would be deemed as acquired at a price of approximately RMB25.3 per share. </w:t>
      </w:r>
      <w:r>
        <mc:AlternateContent>
          <mc:Choice Requires="wps">
            <w:drawing>
              <wp:anchor behindDoc="0" distT="101600" distB="0" distL="0" distR="0" simplePos="0" locked="0" layoutInCell="1" allowOverlap="1" relativeHeight="148">
                <wp:simplePos x="0" y="0"/>
                <wp:positionH relativeFrom="column">
                  <wp:align>left</wp:align>
                </wp:positionH>
                <wp:positionV relativeFrom="line">
                  <wp:align>top</wp:align>
                </wp:positionV>
                <wp:extent cx="254000" cy="525780"/>
                <wp:effectExtent l="0" t="0" r="0" b="0"/>
                <wp:wrapSquare wrapText="right"/>
                <wp:docPr id="146" name="Frame14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China Venture Capital (Hong Kong) Co., Limited is a company incorporated under the laws of Hong Kong. The registered address of China Venture Capital (Hong Kong) Co., Limited is 15A, Fortis Tower, 77-79 Gloucester Road, Hong Kong. China Venture Capital (Hong Kong) Co., Limited participated in the series C investments in Betters Medical in June 2021. The 256,425 Ordinary Shares of the Company held by China Venture Capital (Hong Kong) Co., Limited following the Pro Rata Distribution, taking into account the Business Combination, would be deemed as acquired at a price of approximately RMB25.3 per share. </w:t>
      </w:r>
      <w:r>
        <mc:AlternateContent>
          <mc:Choice Requires="wps">
            <w:drawing>
              <wp:anchor behindDoc="0" distT="101600" distB="0" distL="0" distR="0" simplePos="0" locked="0" layoutInCell="1" allowOverlap="1" relativeHeight="149">
                <wp:simplePos x="0" y="0"/>
                <wp:positionH relativeFrom="column">
                  <wp:align>left</wp:align>
                </wp:positionH>
                <wp:positionV relativeFrom="line">
                  <wp:align>top</wp:align>
                </wp:positionV>
                <wp:extent cx="254000" cy="525780"/>
                <wp:effectExtent l="0" t="0" r="0" b="0"/>
                <wp:wrapSquare wrapText="right"/>
                <wp:docPr id="147" name="Frame1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IPE Group Limited is a company incorporated under the laws of Hong Kong. The registered address of IPE Group Limited is Unit 5-6, 23/F, Enterprise Square 3, 39 Wang Chiu Road, Kowloon Bay, Hong Kong. IPE Group Limited participated in the series C investments in Betters Medical in June 2021. The 256,425 Ordinary Shares of the Company held by IPE Group Limited following the Pro Rata Distribution, taking into account the Business Combination, would be deemed as acquired at a price of approximately RMB25.3 per share. </w:t>
      </w:r>
      <w:r>
        <mc:AlternateContent>
          <mc:Choice Requires="wps">
            <w:drawing>
              <wp:anchor behindDoc="0" distT="101600" distB="0" distL="0" distR="0" simplePos="0" locked="0" layoutInCell="1" allowOverlap="1" relativeHeight="150">
                <wp:simplePos x="0" y="0"/>
                <wp:positionH relativeFrom="column">
                  <wp:align>left</wp:align>
                </wp:positionH>
                <wp:positionV relativeFrom="line">
                  <wp:align>top</wp:align>
                </wp:positionV>
                <wp:extent cx="254000" cy="525780"/>
                <wp:effectExtent l="0" t="0" r="0" b="0"/>
                <wp:wrapSquare wrapText="right"/>
                <wp:docPr id="148" name="Frame1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Weitian Limited is a company incorporated under the laws of the British Virgin Islands. The registered address of Weitian Limited is P.O. Box 957, Offshore Incorporation Centre, Road Town, Tortola, British Virgin Islands. Weitian Limited participated in the series C investments in Betters Medical in June 2021 and subsequently transferred a portion of its shareholding in Betters Medical to a third party in 2023. The 69,835 Ordinary Shares of the Company held by IPE Group Limited following the Pro Rata Distribution, taking into account the Business Combination, would be deemed as acquired at a price of approximately RMB2.2 per share. </w:t>
      </w:r>
      <w:r>
        <mc:AlternateContent>
          <mc:Choice Requires="wps">
            <w:drawing>
              <wp:anchor behindDoc="0" distT="101600" distB="0" distL="0" distR="0" simplePos="0" locked="0" layoutInCell="1" allowOverlap="1" relativeHeight="151">
                <wp:simplePos x="0" y="0"/>
                <wp:positionH relativeFrom="column">
                  <wp:align>left</wp:align>
                </wp:positionH>
                <wp:positionV relativeFrom="line">
                  <wp:align>top</wp:align>
                </wp:positionV>
                <wp:extent cx="254000" cy="525780"/>
                <wp:effectExtent l="0" t="0" r="0" b="0"/>
                <wp:wrapSquare wrapText="right"/>
                <wp:docPr id="149" name="Frame1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January 2025, we issued 50,000 Ordinary Shares to J.V.B. Financial Group, LLC pursuant to certain engagement letter entered between J.V.B. Financial Group, LLC, acting through its Cohen &amp; Company Capital Markets division and ExcelFin dated February 23, 2023 and amended on September 27, 2024. J.V.B. Financial Group, LLC is a subsidiary of J.V.B. Financial Holdings, LLC which is owned by Cohen &amp; Company, LLC, the operating entity for Cohen &amp; Company Inc., which is controlled by its CEO, Lester Brafman. The person having voting and dispositive power over J.V.B. is Jerry Serowik. The address of the persons and entities listed above is 2929 Arch Street, Ste 1703, Philadelphia, PA.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52">
                <wp:simplePos x="0" y="0"/>
                <wp:positionH relativeFrom="column">
                  <wp:align>left</wp:align>
                </wp:positionH>
                <wp:positionV relativeFrom="line">
                  <wp:align>top</wp:align>
                </wp:positionV>
                <wp:extent cx="254000" cy="525780"/>
                <wp:effectExtent l="0" t="0" r="0" b="0"/>
                <wp:wrapSquare wrapText="right"/>
                <wp:docPr id="150" name="Frame14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issuance by us of up to 11,500,000 Ordinary Shares issuable upon the exercise of the Warrants. Pursuant to the terms of the Warrants, Ordinary Shares will be distributed to those holders who surrender the Warrants and provide payment of the exercise price to us. Upon receipt of proper notice by any of the holders of the Warrants issued that such holder desires to exercise the warrant, we will, within the time allotted by the agreement governing the warrants, issue instructions to our transfer agent to issue Ordinary Shares to the holder. If, at the time the Public Warrants are exercised, this registration statement is effective and the prospectus included herein is current, the Ordinary Shares issued upon the exercise of the Public Warrants will be issued free of a restrictive legend. We could potentially receive up to an aggregate of US$132,250,000 from the exercise of the Warrants, assuming the exercise in full of all of these warrants for cash. The likelihood that warrant holders will exercise the Warrants and any cash proceeds that we would receive is dependent upon the market price of our Ordinary Shares. Based on the closing price of our Ordinary Shares at US$1.07 on August 5, 2026, which is less than the exercise price of US$11.50 per share pursuant to the terms of the Warrants, we believe holders of the Warrants will be unlikely to exercise their Warrants, and we are unlikely to receive proceeds from the exercise of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registering the resale, from time to time, by the Selling Securityholders, or their permitted transferees, of up to 34,415,562 Ordinary Shares. The aggregate proceeds to the Selling Securityholders from the sale of such securities will be the purchase price of the securities less any discounts and commissions. 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reserve the right to accept and, together with their respective agents, to reject, any proposed purchases of Registered Securities to be made directly or through agents. We will not receive any of the proceeds from the sale of the securities registered hereby by the Selling Securityholders.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effectiveness of the registration statement of which this prospectus forms a part, the securities covered by this prospectus that are beneficially owned by the Selling Securityholders may be offered and sold from time to time by the Selling Securityholders. Notwithstanding the foregoing, Selling Securityholders subject to our insider trading policy, and any members of their immediate families, are subject to our regular pre-clearance procedures for trading of our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Securityholders may also be subject to the restrictions on transfer of shares of Rule 144 of the Securities Act if such Selling Securityholder is deemed an “affiliate” of us. Persons who may be deemed to be affiliates include individuals or entities that control, are controlled by, or are under common control with, us and may include the executive officers, directors and significant shareholders of 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“Selling Securityholders” includes pledgees, donees, transferees, assignees or other successors in interest (that receive any of the securities as a gift, distribution, or other non-sale related transfer) of the Selling Securityholders named in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and any of their permitted transferees may sell their securities offered by this prospectus on any stock exchange, market or trading facility on which the securities are traded or in private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Securities offered by the Selling Securityholders under this prospectus may be sold from time to time to purchasers: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by the Selling Securityholders;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broker-dealers or agents, who may receive compensation in the form of discounts, commissions or agent’s commissions from the Selling Securityholders or the purchasers of the Registered Securities; </w:t>
      </w:r>
      <w:r>
        <mc:AlternateContent>
          <mc:Choice Requires="wps">
            <w:drawing>
              <wp:anchor behindDoc="0" distT="635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r>
        <mc:AlternateContent>
          <mc:Choice Requires="wps">
            <w:drawing>
              <wp:anchor behindDoc="0" distT="635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 solicits purchasers; </w:t>
      </w:r>
      <w:r>
        <mc:AlternateContent>
          <mc:Choice Requires="wps">
            <w:drawing>
              <wp:anchor behindDoc="0" distT="635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so engaged will attempt to sell the securities as agent but may position and resell a portion of the block as principal to facilitate the transaction; </w:t>
      </w:r>
      <w:r>
        <mc:AlternateContent>
          <mc:Choice Requires="wps">
            <w:drawing>
              <wp:anchor behindDoc="0" distT="635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including through a specific bidding, auction or other process or in privately negotiated transactions; </w:t>
      </w:r>
      <w:r>
        <mc:AlternateContent>
          <mc:Choice Requires="wps">
            <w:drawing>
              <wp:anchor behindDoc="0" distT="635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of options (including the issuance by the Selling Securityholders of derivative securities), whether the options or such other derivative securities are listed on an options exchange or otherwise; </w:t>
      </w:r>
      <w:r>
        <mc:AlternateContent>
          <mc:Choice Requires="wps">
            <w:drawing>
              <wp:anchor behindDoc="0" distT="635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 exchange distribution in accordance with the rules of the applicable exchange; </w:t>
      </w:r>
      <w:r>
        <mc:AlternateContent>
          <mc:Choice Requires="wps">
            <w:drawing>
              <wp:anchor behindDoc="0" distT="635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r>
        <mc:AlternateContent>
          <mc:Choice Requires="wps">
            <w:drawing>
              <wp:anchor behindDoc="0" distT="635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underwritten offerings on a firm commitment or best efforts basis; </w:t>
      </w:r>
      <w:r>
        <mc:AlternateContent>
          <mc:Choice Requires="wps">
            <w:drawing>
              <wp:anchor behindDoc="0" distT="635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settlement of short sales, </w:t>
      </w:r>
      <w:r>
        <mc:AlternateContent>
          <mc:Choice Requires="wps">
            <w:drawing>
              <wp:anchor behindDoc="0" distT="635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and </w:t>
      </w:r>
      <w:r>
        <mc:AlternateContent>
          <mc:Choice Requires="wps">
            <w:drawing>
              <wp:anchor behindDoc="0" distT="635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w:t>
      </w:r>
      <w:r>
        <mc:AlternateContent>
          <mc:Choice Requires="wps">
            <w:drawing>
              <wp:anchor behindDoc="0" distT="635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broker-dealers or agents who participate in the sale or distribution of the Registered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Registered Securities by the Selling Securityholders.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Securities may be sold in one or more transactions 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fixed prices;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prevailing market prices at the time of sale; </w:t>
      </w:r>
      <w:r>
        <mc:AlternateContent>
          <mc:Choice Requires="wps">
            <w:drawing>
              <wp:anchor behindDoc="0" distT="635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such prevailing market prices; </w:t>
      </w:r>
      <w:r>
        <mc:AlternateContent>
          <mc:Choice Requires="wps">
            <w:drawing>
              <wp:anchor behindDoc="0" distT="635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varying prices determined at the time of sale; or </w:t>
      </w:r>
      <w:r>
        <mc:AlternateContent>
          <mc:Choice Requires="wps">
            <w:drawing>
              <wp:anchor behindDoc="0" distT="635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635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sales may be effected in one or more transactions: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securities exchange or quotation service on which the Registered Securities may be listed or quoted at the time of sale, including Nasdaq;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0" distB="0" distL="254000" distR="0" simplePos="0" locked="0" layoutInCell="1" allowOverlap="1" relativeHeight="172">
                <wp:simplePos x="0" y="0"/>
                <wp:positionH relativeFrom="column">
                  <wp:align>left</wp:align>
                </wp:positionH>
                <wp:positionV relativeFrom="line">
                  <wp:posOffset>635</wp:posOffset>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otherwise than on such exchanges or services or in the over-the-counter market; </w:t>
      </w:r>
      <w:r>
        <mc:AlternateContent>
          <mc:Choice Requires="wps">
            <w:drawing>
              <wp:anchor behindDoc="0" distT="8001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by applicable law; or </w:t>
      </w:r>
      <w:r>
        <mc:AlternateContent>
          <mc:Choice Requires="wps">
            <w:drawing>
              <wp:anchor behindDoc="0" distT="8001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combination of the foregoing. </w:t>
      </w:r>
      <w:r>
        <mc:AlternateContent>
          <mc:Choice Requires="wps">
            <w:drawing>
              <wp:anchor behindDoc="0" distT="8001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sales of our securities, the Selling Securityholders may enter into hedging transactions with broker-dealers or other financial institutions that, in turn, may: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short sales of the securities in the course of hedging their positions; </w:t>
      </w:r>
      <w:r>
        <mc:AlternateContent>
          <mc:Choice Requires="wps">
            <w:drawing>
              <wp:anchor behindDoc="0" distT="8001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the securities short and deliver the securities to close out short positions; </w:t>
      </w:r>
      <w:r>
        <mc:AlternateContent>
          <mc:Choice Requires="wps">
            <w:drawing>
              <wp:anchor behindDoc="0" distT="8001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 or pledge the securities to broker-dealers or other financial institutions that in turn may sell the securities; </w:t>
      </w:r>
      <w:r>
        <mc:AlternateContent>
          <mc:Choice Requires="wps">
            <w:drawing>
              <wp:anchor behindDoc="0" distT="8001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option or other transactions with broker-dealers or other financial institutions that require the delivery to the broker-dealer or other financial institution of the securities, which the broker-dealer or other financial institution may resell; or </w:t>
      </w:r>
      <w:r>
        <mc:AlternateContent>
          <mc:Choice Requires="wps">
            <w:drawing>
              <wp:anchor behindDoc="0" distT="8001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in which a broker-dealer makes purchases as a principal for resale for its own account or through other types of transactions. </w:t>
      </w:r>
      <w:r>
        <mc:AlternateContent>
          <mc:Choice Requires="wps">
            <w:drawing>
              <wp:anchor behindDoc="0" distT="8128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a Selling Securityholder that is an entity may elect to make a </w:t>
      </w:r>
      <w:r>
        <w:rPr>
          <w:rFonts w:ascii="Times New Roman;Times;serif" w:hAnsi="Times New Roman;Times;serif"/>
          <w:b w:val="false"/>
          <w:i/>
          <w:caps w:val="false"/>
          <w:smallCaps w:val="false"/>
          <w:color w:val="000000"/>
          <w:spacing w:val="4"/>
          <w:sz w:val="20"/>
        </w:rPr>
        <w:t>pro rata</w:t>
      </w:r>
      <w:r>
        <w:rPr>
          <w:rFonts w:ascii="Times New Roman;Times;serif" w:hAnsi="Times New Roman;Times;serif"/>
          <w:b w:val="false"/>
          <w:i w:val="false"/>
          <w:caps w:val="false"/>
          <w:smallCaps w:val="false"/>
          <w:color w:val="000000"/>
          <w:spacing w:val="4"/>
          <w:sz w:val="20"/>
        </w:rPr>
        <w:t xml:space="preserve">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The Selling Securityholder also may transfer the securities in other circumstances, in which case the transferees, pledgees or other successors-in-interest will be the selling beneficial owners for purposes of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a particular offering of the Registered Securities is made, a prospectus supplement, if required, will be distributed, which will set forth the name of the Selling Securityholders, the aggregate amount of Registered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the Registered Securities by the Selling Securityholders pursuant to this prospectus for certain periods of time for certain reasons, including if the prospectus is required to be supplemented or amended to include additional material information.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the Selling Securityholders will sell any or all of the Registered Securities under this prospectus. Further, we cannot assure you that the Selling Securityholders will not transfer, distribute, devise or gift the Registered Securities by other means not described in this prospectus. In addition, any Registered Securities covered by this prospectus that qualify for sale under Rule 144 of the Securities Act may be sold under Rule 144 rather than under this prospectus. The Registered Securities may be sold in some states only through registered or licensed brokers or dealers. In addition, in some states the Registered Securities may not be sold unless they have been registered or qualified for sale or an exemption from registration or qualification is available and complied with.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and any other persons participating in the sale of the Registered Securities will be subject to the Exchange Act. The Exchange Act rules include, without limitation, Regulation M, which may limit the timing of purchases and sales of any of the Registered Securities by the Selling Securityholders and any other person. In addition, Regulation M may restrict the ability of any person engaged in the distribution of the Registered Securities to engage in market-making activities with respect to the particular Registered Securities being distributed. This may affect the marketability of the Registered Securities and the ability of any person or entity to engage in market-making activities with respect to the Registered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those Registered Securities being registered pursuant to the A&amp;R Registration Rights Agreement, the Subscription Agreement and the Backstop Agreement, we and the Selling Securityholders have agreed to indemnify or hold harmless each other and certain related persons against certain liabilities, including certain liabilities under the Securities Act. The Selling Securityholders may also indemnify any broker or underwriter that participates in transactions involving the sale of the Registered Securities against certain liabilities, including liabilities arising under the Securities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additional information regarding expenses of registration, see the section titled “Use of Proceeds.”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TAX"/>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Material income tax consequences relating to the purchase, ownership, and disposition of the securities offered by this prospectus are set forth in “Item 10. Additional Information — E. Taxation” in our 2025 20-F, which is incorporated by reference herein, as updated by our subsequent filings under the Exchange Act that are incorporated by reference and, if applicable, in any accompanying prospectus supplement or relevant free writing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EOCL"/>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ENFORCEABILITY OF CIVIL LIABILITIES AND AGENT FOR SERVICE OF PROCESS IN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Cayman Islands to take advantage of certain benefits associated with being a Cayman Islands exempted company: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stability;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effective judicial system;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favorable tax system;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exchange control or currency restrictions; and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professional and support services.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certain disadvantages accompany incorporation in the Cayman Islands. These disadvantages include, but are not limited to, the following: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has a less exhaustive body of securities laws than the United States and these securities laws provide significantly less protection to investors; and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companies may not have standing to sue before the federal courts of the United States.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constitutional documents do not contain provisions requiring that disputes, including those arising under the securities laws of the United States, between us, our officers, directors and shareholders, be arbitrated.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substantially all of our operations outside the United States, and substantially all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appointed Puglisi &amp; Associates as our agent upon whom process may be served in any action brought against us under the securities laws of the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uncertainty as to whether the courts of the Cayman Islands would (1) recognize and enforce judgments of courts of the United States obtained against us or our directors or officers that are predicated 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uncertainty as to whether the courts of China would: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recognize or enforce judgments of United States courts obtained against us or our directors or officers predicated upon the civil liability provisions of the securities laws of the United States or any state in the United States; or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entertain original actions brought in each respective jurisdiction against us or our directors or officers predicated upon the securities laws of the United States or any state in the United States.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recognition and enforcement of foreign judgments are provided for under the PRC Civil Procedures Law. PRC courts may recognize and enforce foreign judgments in accordance with the requirements of the PRC Civil Procedures Law based either on treaties between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it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Holdco in the PRC for disputes relating to contracts or other property interests if they can establish sufficient connection to the PRC for a PRC court to have jurisdiction and meet other procedural requirements. The PRC court will determine whether to accept the complaint in accordance with the PRC Civil Procedures Law. In addition, it will be difficult for U.S. shareholders to originate actions against us in China in accordance with PRC laws because we are incorporated under the laws of the Cayman Islands and it will be difficult for U.S. shareholders, by virtue only of holding the Ordinary Shares, to establish a connection to the PRC for a PRC court to have jurisdiction as required under the PRC Civil Procedures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RTO"/>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the following expenses in connection with the offer and sale of our Ordinary Shares by the Selling Securityholders. With the exception of the SEC Registration Fee, all amounts are estimates. </w:t>
      </w:r>
    </w:p>
    <w:tbl>
      <w:tblPr>
        <w:tblW w:w="5204" w:type="dxa"/>
        <w:jc w:val="left"/>
        <w:tblInd w:w="1393" w:type="dxa"/>
        <w:tblLayout w:type="fixed"/>
        <w:tblCellMar>
          <w:top w:w="0" w:type="dxa"/>
          <w:left w:w="0" w:type="dxa"/>
          <w:bottom w:w="0" w:type="dxa"/>
          <w:right w:w="0" w:type="dxa"/>
        </w:tblCellMar>
      </w:tblPr>
      <w:tblGrid>
        <w:gridCol w:w="124"/>
        <w:gridCol w:w="3378"/>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36,568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45,000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Accountants’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150,000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Printing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3,000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Transfer agent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37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costs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10,000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b/>
              </w:rPr>
            </w:pPr>
            <w:r>
              <w:rPr>
                <w:b/>
                <w:spacing w:val="-4"/>
              </w:rPr>
              <w:t>Total</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245,568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defined at this time. </w:t>
      </w:r>
      <w:r>
        <mc:AlternateContent>
          <mc:Choice Requires="wps">
            <w:drawing>
              <wp:anchor behindDoc="0" distT="10160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agreements to which we are party with the Selling Securityholders, we have agreed to bear all expenses relating to the registration of the resale of the securities pursuant to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LEM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being represented by Baker &amp; McKenzie LLP with respect to certain legal matters as to United States federal securities and New York State law, and by Conyers Dill &amp; Pearman with respect to certain legal matters as to Cayman Islands law. Baker &amp; McKenzie LLP may rely upon Conyers Dill &amp; Pearman with respect to matters governed by Cayman Islands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EX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Baird Medical Investment Holdings Limited as of December 31, 2025 and 2024, and for each of the three years in the period ended December 31, 2025, incorporated in this registration statement by reference to the Annual Report on Form 20-F for the year ended December 31, 2025, as amended by Amendment No. 1 on Form 20-F/A filed with the SEC on July 27, 2026, have been in reliance upon the report of Guangdong Prouden CPAs GP, an independent registered public accounting firm, and 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WYC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ABOUT 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and content of proxy statements to shareholders, and our executive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information filed with the SEC can be obtained over the internet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can request copies of these documents, upon payment of a duplicating fee, by writing to the SEC. Please call the SEC at 1-800-SEC-0330 or visit the SEC website for further information. We also maintain a website at www.bairdmed.com, but information on our website, however, is not, and should not be deemed to be, a part of this prospectus or any prospectus supplement. You should not regard any information on our website as a part of this prospectus or any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PART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Amended and Restated Memorandum and Articles of Association provide for indemnification of our officers and directors against all actions, proceedings, costs, charges, expenses, losses, damages or liabilities incurred or sustained by such person, other than by reason of such person’s own dishonesty, willful default or fraud, in or about the conduct of our business or affairs (including as a result of any mistake of judgment) or in the execution or discharge of his duties, powers, authorities or discretions, including without prejudice to the generality of the foregoing, any costs, expenses, losses or liabilities incurred by such person in defending (whether successfully or otherwise) any civil proceedings concerning us or our affairs in any court whether in the Cayman Islands or elsewhere.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indemnification agreement, we will agree to indemnify each such person and hold him harmless against expenses, judgments, fines and amounts payable under settlement agreements in connection with any threatened, pending or completed action, suit or proceeding to which he has been made a party or in which he became involved by reason of the fact that he is or was our director or officer. Except with respect to expenses to be reimbursed by us in the event that the indemnified person has been successful on the merits or otherwise in defense of the action, suit or proceeding, our obligations under the indemnification agreements are subject to certain customary restrictions and exceptions.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maintain standard policies of insurance under which coverage is provided to our directors and officers against loss rising from claims made by reason of breach of duty or other wrongful act, and to us with respect to payments which may be made by us to such directors and officers pursuant to the above indemnification provision or otherwise as a matter of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Exhibit Index beginning on page II-3 of this registration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5410" distB="0" distL="25400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4140" distB="0" distL="50800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w:t>
      </w:r>
      <w:r>
        <mc:AlternateContent>
          <mc:Choice Requires="wps">
            <w:drawing>
              <wp:anchor behindDoc="0" distT="104140" distB="0" distL="50800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maximum aggregate offering price set forth in the “Calculation of Registration Fee” table in the effective registration statement. </w:t>
      </w:r>
    </w:p>
    <w:p>
      <w:pPr>
        <w:pStyle w:val="TextBody"/>
        <w:bidi w:val="0"/>
        <w:spacing w:lineRule="atLeast" w:line="240" w:before="154"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97790" distB="0" distL="50800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97790" distB="0" distL="25400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9779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a post-effective amendment to the registration statement to include any financial statements required by Item 8.A of Form 20-F at the start of any delayed offering or throughout a continuous offering. </w:t>
      </w:r>
      <w:r>
        <mc:AlternateContent>
          <mc:Choice Requires="wps">
            <w:drawing>
              <wp:anchor behindDoc="0" distT="97790" distB="0" distL="254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shall be governed by the final adjudication of such issue.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736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736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shall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undertakes that every prospectus: (1) that is filed pursuant to the immediately preceding paragraph, or (2) that purports to meet the requirements of Section 10(a)(3) of the Act and is used in connection with an offering of securities subject to Rule 415, shall be filed as a part of an amendment to the registration statement and shall not be used until such amendment is effective, and that, for purposes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895"/>
        <w:gridCol w:w="109"/>
        <w:gridCol w:w="109"/>
        <w:gridCol w:w="7544"/>
        <w:gridCol w:w="155"/>
      </w:tblGrid>
      <w:tr>
        <w:trPr/>
        <w:tc>
          <w:tcPr>
            <w:tcW w:w="895" w:type="dxa"/>
            <w:tcBorders>
              <w:bottom w:val="single" w:sz="2" w:space="0" w:color="000000"/>
            </w:tcBorders>
            <w:vAlign w:val="center"/>
          </w:tcPr>
          <w:p>
            <w:pPr>
              <w:pStyle w:val="TableContents"/>
              <w:bidi w:val="0"/>
              <w:spacing w:before="0" w:after="283"/>
              <w:jc w:val="left"/>
              <w:rPr/>
            </w:pPr>
            <w:r>
              <w:rPr>
                <w:spacing w:val="-3"/>
              </w:rPr>
              <w:t>Exhibit</w:t>
            </w:r>
            <w:r>
              <w:rPr/>
              <w:t xml:space="preserve"> </w:t>
              <w:br/>
            </w: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44"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both"/>
              <w:rPr/>
            </w:pPr>
            <w:hyperlink r:id="rId6">
              <w:r>
                <w:rPr>
                  <w:rStyle w:val="InternetLink"/>
                  <w:spacing w:val="4"/>
                </w:rPr>
                <w:t>Amended and Restated Memorandum and Articles of Association of Baird Medical Investment Holdings Limited, as currently in effect (incorporated by reference to Exhibit 1.1 to the Shell Company Report on Form 20-F filed with the SEC on October 9,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both"/>
              <w:rPr/>
            </w:pPr>
            <w:hyperlink r:id="rId7">
              <w:r>
                <w:rPr>
                  <w:rStyle w:val="InternetLink"/>
                  <w:spacing w:val="4"/>
                </w:rPr>
                <w:t>Specimen Ordinary Share Certificate of Baird Medical Investment Holdings Limited (incorporated by reference to Exhibit 2.1 to the Shell Company Report on Form 20-F filed with the SEC on October 9,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both"/>
              <w:rPr/>
            </w:pPr>
            <w:hyperlink r:id="rId8">
              <w:r>
                <w:rPr>
                  <w:rStyle w:val="InternetLink"/>
                  <w:spacing w:val="4"/>
                </w:rPr>
                <w:t>Specimen Warrant Certificate of Baird Medical Investment Holdings Limited (incorporated by reference to Exhibit 2.2 to the Shell Company Report on Form 20-F filed with the SEC on October 9,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both"/>
              <w:rPr/>
            </w:pPr>
            <w:hyperlink r:id="rId9">
              <w:r>
                <w:rPr>
                  <w:rStyle w:val="InternetLink"/>
                  <w:spacing w:val="4"/>
                </w:rPr>
                <w:t>Warrant Agreement, dated October 20, 2021, by and between ExcelFin Acquisition Corp. and American Stock Transfer &amp; Trust Company, as warrant agent (incorporated by reference to Exhibit 4.1 to Baird Medical Investment Holdings Limited’s Registration Statement on Form F-4, filed with the SEC on August 26,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both"/>
              <w:rPr/>
            </w:pPr>
            <w:hyperlink r:id="rId10">
              <w:r>
                <w:rPr>
                  <w:rStyle w:val="InternetLink"/>
                  <w:spacing w:val="4"/>
                </w:rPr>
                <w:t>Warrant Assignment, Assumption and Amendment Agreement, dated October 1, 2024, by and among ExcelFin Acquisition Corp., Baird Medical Investment Holdings Limited and American Stock Transfer &amp; Trust Company, LLC, in its capacity as Warrant Agent (incorporated by reference to Exhibit 4.7 to the Shell Company Report on Form 20-F filed with the SEC on October 9,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both"/>
              <w:rPr/>
            </w:pPr>
            <w:hyperlink r:id="rId11">
              <w:r>
                <w:rPr>
                  <w:rStyle w:val="InternetLink"/>
                  <w:spacing w:val="4"/>
                </w:rPr>
                <w:t>Opinion of Conyers Dill &amp; Pearman as to the validity of the Ordinary Shares of Baird Medical Investment Holdings Limited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ind w:left="100" w:right="0" w:hanging="0"/>
              <w:jc w:val="left"/>
              <w:rPr>
                <w:spacing w:val="4"/>
              </w:rPr>
            </w:pPr>
            <w:r>
              <w:rPr>
                <w:spacing w:val="4"/>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both"/>
              <w:rPr/>
            </w:pPr>
            <w:hyperlink r:id="rId12">
              <w:r>
                <w:rPr>
                  <w:rStyle w:val="InternetLink"/>
                  <w:spacing w:val="4"/>
                </w:rPr>
                <w:t>Opinion of Baker &amp; McKenzie LLP as to the validity of the Warrants of Baird Medical Investment Holdings Limited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left"/>
              <w:rPr/>
            </w:pPr>
            <w:hyperlink w:anchor="tm2622007d3_ex23-1.htm">
              <w:r>
                <w:rPr>
                  <w:rStyle w:val="InternetLink"/>
                  <w:spacing w:val="4"/>
                </w:rPr>
                <w:t>Consent of Guangdong Prouden CPAs GP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jc w:val="left"/>
              <w:rPr>
                <w:spacing w:val="4"/>
              </w:rPr>
            </w:pPr>
            <w:r>
              <w:rPr>
                <w:spacing w:val="4"/>
              </w:rPr>
              <w:t xml:space="preserve">23.4†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left"/>
              <w:rPr/>
            </w:pPr>
            <w:hyperlink r:id="rId13">
              <w:r>
                <w:rPr>
                  <w:rStyle w:val="InternetLink"/>
                  <w:spacing w:val="4"/>
                </w:rPr>
                <w:t>Consent of Conyers Dill &amp; Pearman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jc w:val="left"/>
              <w:rPr>
                <w:spacing w:val="4"/>
              </w:rPr>
            </w:pPr>
            <w:r>
              <w:rPr>
                <w:spacing w:val="4"/>
              </w:rPr>
              <w:t xml:space="preserve">23.5†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left"/>
              <w:rPr/>
            </w:pPr>
            <w:hyperlink r:id="rId14">
              <w:r>
                <w:rPr>
                  <w:rStyle w:val="InternetLink"/>
                  <w:spacing w:val="4"/>
                </w:rPr>
                <w:t>Consent of Baker &amp; McKenzie LLP (included in Exhibit 5.2)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"https://www.sec.gov/Archives/edgar/data/1982444/000110465924119358/tm2427701-1_f1.htm" \l "tSIG"</w:instrText>
            </w:r>
            <w:r>
              <w:rPr>
                <w:rStyle w:val="InternetLink"/>
                <w:spacing w:val="4"/>
              </w:rPr>
              <w:fldChar w:fldCharType="separate"/>
            </w:r>
            <w:r>
              <w:rPr>
                <w:rStyle w:val="InternetLink"/>
                <w:spacing w:val="4"/>
              </w:rPr>
              <w:t>Power of Attorney (included on signature page to the initial filing of this Registration Statement)</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95"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4" w:type="dxa"/>
            <w:tcBorders/>
            <w:tcMar>
              <w:bottom w:w="0" w:type="dxa"/>
            </w:tcMar>
            <w:vAlign w:val="center"/>
          </w:tcPr>
          <w:p>
            <w:pPr>
              <w:pStyle w:val="TableContents"/>
              <w:bidi w:val="0"/>
              <w:spacing w:before="0" w:after="0"/>
              <w:jc w:val="left"/>
              <w:rPr/>
            </w:pPr>
            <w:hyperlink r:id="rId15">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Previously filed.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Guangzhou, People’s Republic of China, on August 6, 2026.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Baird Medical investment Holdings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Haimei Wu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203">
                <wp:simplePos x="0" y="0"/>
                <wp:positionH relativeFrom="column">
                  <wp:align>left</wp:align>
                </wp:positionH>
                <wp:positionV relativeFrom="line">
                  <wp:align>top</wp:align>
                </wp:positionV>
                <wp:extent cx="254000" cy="525780"/>
                <wp:effectExtent l="0" t="0" r="0" b="0"/>
                <wp:wrapSquare wrapText="right"/>
                <wp:docPr id="201" name="Frame20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Haimei Wu </w:t>
      </w:r>
      <w:r>
        <mc:AlternateContent>
          <mc:Choice Requires="wps">
            <w:drawing>
              <wp:anchor behindDoc="0" distT="50800" distB="0" distL="254000" distR="0" simplePos="0" locked="0" layoutInCell="1" allowOverlap="1" relativeHeight="204">
                <wp:simplePos x="0" y="0"/>
                <wp:positionH relativeFrom="column">
                  <wp:align>left</wp:align>
                </wp:positionH>
                <wp:positionV relativeFrom="line">
                  <wp:align>top</wp:align>
                </wp:positionV>
                <wp:extent cx="406400" cy="525780"/>
                <wp:effectExtent l="0" t="0" r="0" b="0"/>
                <wp:wrapSquare wrapText="right"/>
                <wp:docPr id="202" name="Frame20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4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(principal executive officer)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25400" distB="0" distL="254000" distR="0" simplePos="0" locked="0" layoutInCell="1" allowOverlap="1" relativeHeight="205">
                <wp:simplePos x="0" y="0"/>
                <wp:positionH relativeFrom="column">
                  <wp:align>left</wp:align>
                </wp:positionH>
                <wp:positionV relativeFrom="line">
                  <wp:align>top</wp:align>
                </wp:positionV>
                <wp:extent cx="4064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2pt;mso-wrap-distance-bottom:0pt;margin-top:2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on August 6, 2026. </w:t>
      </w:r>
    </w:p>
    <w:tbl>
      <w:tblPr>
        <w:tblW w:w="8109" w:type="dxa"/>
        <w:jc w:val="left"/>
        <w:tblInd w:w="1393" w:type="dxa"/>
        <w:tblLayout w:type="fixed"/>
        <w:tblCellMar>
          <w:top w:w="0" w:type="dxa"/>
          <w:left w:w="0" w:type="dxa"/>
          <w:bottom w:w="28" w:type="dxa"/>
          <w:right w:w="0" w:type="dxa"/>
        </w:tblCellMar>
      </w:tblPr>
      <w:tblGrid>
        <w:gridCol w:w="124"/>
        <w:gridCol w:w="2694"/>
        <w:gridCol w:w="109"/>
        <w:gridCol w:w="109"/>
        <w:gridCol w:w="4592"/>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9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spacing w:val="4"/>
              </w:rPr>
            </w:pPr>
            <w:r>
              <w:rPr>
                <w:spacing w:val="4"/>
              </w:rPr>
              <w:t xml:space="preserve">/s/ Haimei Wu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Haimei Wu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0"/>
              <w:jc w:val="center"/>
              <w:rPr/>
            </w:pPr>
            <w:r>
              <w:rPr>
                <w:spacing w:val="4"/>
              </w:rPr>
              <w:t>Director and Chief Executive Officer</w:t>
            </w:r>
            <w:r>
              <w:rPr/>
              <w:t xml:space="preserve"> </w:t>
              <w:br/>
            </w:r>
            <w:r>
              <w:rPr>
                <w:i/>
                <w:spacing w:val="4"/>
              </w:rPr>
              <w:t>(Principal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Jie 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top w:w="28" w:type="dxa"/>
              <w:left w:w="28" w:type="dxa"/>
              <w:right w:w="28" w:type="dxa"/>
            </w:tcMar>
            <w:vAlign w:val="center"/>
          </w:tcPr>
          <w:p>
            <w:pPr>
              <w:pStyle w:val="TableContents"/>
              <w:bidi w:val="0"/>
              <w:spacing w:before="0" w:after="0"/>
              <w:jc w:val="center"/>
              <w:rPr/>
            </w:pPr>
            <w:r>
              <w:rPr>
                <w:spacing w:val="4"/>
              </w:rPr>
              <w:t>Acting Chief Financial Officer</w:t>
            </w:r>
            <w:r>
              <w:rPr/>
              <w:t xml:space="preserve"> </w:t>
              <w:br/>
            </w:r>
            <w:r>
              <w:rPr>
                <w:i/>
                <w:spacing w:val="4"/>
              </w:rPr>
              <w:t>(Principal Financial and Accounting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Wei Hou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Quan Qiu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Joseph Douglas Ragan III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Mingzhao Xing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Independent Director </w:t>
            </w:r>
          </w:p>
        </w:tc>
        <w:tc>
          <w:tcPr>
            <w:tcW w:w="109" w:type="dxa"/>
            <w:tcBorders/>
            <w:tcMar>
              <w:bottom w:w="0" w:type="dxa"/>
            </w:tcMar>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Lijian Xu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Independent Director </w:t>
            </w:r>
          </w:p>
        </w:tc>
        <w:tc>
          <w:tcPr>
            <w:tcW w:w="109" w:type="dxa"/>
            <w:tcBorders/>
            <w:tcMar>
              <w:bottom w:w="0" w:type="dxa"/>
            </w:tcMar>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Gabrielle Bilciu-Wolfson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0"/>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Haimei Wu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206">
                <wp:simplePos x="0" y="0"/>
                <wp:positionH relativeFrom="column">
                  <wp:align>left</wp:align>
                </wp:positionH>
                <wp:positionV relativeFrom="line">
                  <wp:align>top</wp:align>
                </wp:positionV>
                <wp:extent cx="304800" cy="525780"/>
                <wp:effectExtent l="0" t="0" r="0" b="0"/>
                <wp:wrapSquare wrapText="right"/>
                <wp:docPr id="204" name="Frame20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87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Name: Haimei Wu</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Attorney-in-fact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 OF AUTHORIZED REPRESENTATIVE IN 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Securities Act of 1933, as amended, the undersigned, the duly authorized representative in the United States of Baird Medical Investment Holdings Limited, has signed this registration statement or amendment thereto in Newark, Delaware on August 6, 2026.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U.S. Representative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Donald J. Puglisi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207">
                <wp:simplePos x="0" y="0"/>
                <wp:positionH relativeFrom="column">
                  <wp:align>left</wp:align>
                </wp:positionH>
                <wp:positionV relativeFrom="line">
                  <wp:align>top</wp:align>
                </wp:positionV>
                <wp:extent cx="254000" cy="525780"/>
                <wp:effectExtent l="0" t="0" r="0" b="0"/>
                <wp:wrapSquare wrapText="right"/>
                <wp:docPr id="205" name="Frame2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Donald J. Puglisi </w:t>
      </w:r>
      <w:r>
        <mc:AlternateContent>
          <mc:Choice Requires="wps">
            <w:drawing>
              <wp:anchor behindDoc="0" distT="50800" distB="0" distL="254000" distR="0" simplePos="0" locked="0" layoutInCell="1" allowOverlap="1" relativeHeight="208">
                <wp:simplePos x="0" y="0"/>
                <wp:positionH relativeFrom="column">
                  <wp:align>left</wp:align>
                </wp:positionH>
                <wp:positionV relativeFrom="line">
                  <wp:align>top</wp:align>
                </wp:positionV>
                <wp:extent cx="406400" cy="525780"/>
                <wp:effectExtent l="0" t="0" r="0" b="0"/>
                <wp:wrapSquare wrapText="right"/>
                <wp:docPr id="206" name="Frame205"/>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4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Managing Director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 distB="0" distL="254000" distR="0" simplePos="0" locked="0" layoutInCell="1" allowOverlap="1" relativeHeight="209">
                <wp:simplePos x="0" y="0"/>
                <wp:positionH relativeFrom="column">
                  <wp:align>left</wp:align>
                </wp:positionH>
                <wp:positionV relativeFrom="line">
                  <wp:align>top</wp:align>
                </wp:positionV>
                <wp:extent cx="4064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2pt;mso-wrap-distance-bottom:0pt;margin-top:2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9" w:name="tm2622007d3_ex23-1.htm"/>
      <w:bookmarkStart w:id="20" w:name="kstm2622007d3_ex231"/>
      <w:bookmarkEnd w:id="19"/>
      <w:bookmarkEnd w:id="20"/>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jc w:val="right"/>
        <w:rPr/>
      </w:pPr>
      <w:r>
        <w:rPr/>
        <w:t> </w:t>
      </w:r>
      <w:r>
        <w:rPr/>
        <w:drawing>
          <wp:inline distT="0" distB="0" distL="0" distR="0">
            <wp:extent cx="2095500" cy="1095375"/>
            <wp:effectExtent l="0" t="0" r="0" b="0"/>
            <wp:docPr id="20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 descr=""/>
                    <pic:cNvPicPr>
                      <a:picLocks noChangeAspect="1" noChangeArrowheads="1"/>
                    </pic:cNvPicPr>
                  </pic:nvPicPr>
                  <pic:blipFill>
                    <a:blip r:embed="rId16"/>
                    <a:stretch>
                      <a:fillRect/>
                    </a:stretch>
                  </pic:blipFill>
                  <pic:spPr bwMode="auto">
                    <a:xfrm>
                      <a:off x="0" y="0"/>
                      <a:ext cx="2095500" cy="1095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Post-Effective Amendment No. 2 to Form F-1 on Form F-3 (File No. 333-283249) of our report dated April 24, 2026, with respect to our audits of the consolidated financial statements of Baird Medical Investment Holdings Limited as of December 31, 2025 and 2024 and for the years ended December 31, 2025, 2024 and 2023, appearing in the Annual Report on Form 20-F of Baird Medical Investment Holdings Limited filed on April 24, 2026, as amended by Amendment No.1 on Form 20-F/A filed on July 27, 2026, for the year ended December 31, 2025. We also consent to the reference to our firm under the heading "Experts" in the Prospectus, which is part of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Guangdong Prouden CPAs 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Prouden CPAs 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82444/000110465926048641/bdmd-20251231x20f.htm" TargetMode="External"/><Relationship Id="rId4" Type="http://schemas.openxmlformats.org/officeDocument/2006/relationships/hyperlink" Target="https://www.sec.gov/ix?doc=/Archives/edgar/data/0001982444/000110465926087081/bdmd-20251231x20fa.htm" TargetMode="External"/><Relationship Id="rId5" Type="http://schemas.openxmlformats.org/officeDocument/2006/relationships/hyperlink" Target="https://www.sec.gov/ix?doc=/Archives/edgar/data/0001982444/000110465926087081/bdmd-20251231x20fa.htm" TargetMode="External"/><Relationship Id="rId6" Type="http://schemas.openxmlformats.org/officeDocument/2006/relationships/hyperlink" Target="https://www.sec.gov/Archives/edgar/data/1982444/000110465924107388/tm2425701d1_ex1-1.htm" TargetMode="External"/><Relationship Id="rId7" Type="http://schemas.openxmlformats.org/officeDocument/2006/relationships/hyperlink" Target="https://www.sec.gov/Archives/edgar/data/1982444/000110465924107388/tm2425701d1_ex2-1.htm" TargetMode="External"/><Relationship Id="rId8" Type="http://schemas.openxmlformats.org/officeDocument/2006/relationships/hyperlink" Target="https://www.sec.gov/Archives/edgar/data/1982444/000110465924107388/tm2425701d1_ex2-2.htm" TargetMode="External"/><Relationship Id="rId9" Type="http://schemas.openxmlformats.org/officeDocument/2006/relationships/hyperlink" Target="http://www.sec.gov/Archives/edgar/data/1852749/000110465921129843/tm2114962d14_ex4-1.htm" TargetMode="External"/><Relationship Id="rId10" Type="http://schemas.openxmlformats.org/officeDocument/2006/relationships/hyperlink" Target="https://www.sec.gov/Archives/edgar/data/1982444/000110465924107388/tm2425701d1_ex4-7.htm" TargetMode="External"/><Relationship Id="rId11" Type="http://schemas.openxmlformats.org/officeDocument/2006/relationships/hyperlink" Target="https://www.sec.gov/Archives/edgar/data/1982444/000110465925004489/tm2427701d4_ex5-1.htm" TargetMode="External"/><Relationship Id="rId12" Type="http://schemas.openxmlformats.org/officeDocument/2006/relationships/hyperlink" Target="http://www.sec.gov/Archives/edgar/data/1982444/000110465925075674/tm2427701d8_ex5-2.htm" TargetMode="External"/><Relationship Id="rId13" Type="http://schemas.openxmlformats.org/officeDocument/2006/relationships/hyperlink" Target="https://www.sec.gov/Archives/edgar/data/1982444/000110465925004489/tm2427701d4_ex5-1.htm" TargetMode="External"/><Relationship Id="rId14" Type="http://schemas.openxmlformats.org/officeDocument/2006/relationships/hyperlink" Target="http://www.sec.gov/Archives/edgar/data/1982444/000110465925075674/tm2427701d8_ex5-2.htm" TargetMode="External"/><Relationship Id="rId15" Type="http://schemas.openxmlformats.org/officeDocument/2006/relationships/hyperlink" Target="https://www.sec.gov/Archives/edgar/data/1982444/000110465925004489/tm2427701d4_ex-filingfees.htm" TargetMode="External"/><Relationship Id="rId16" Type="http://schemas.openxmlformats.org/officeDocument/2006/relationships/image" Target="media/image2.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41313</Words>
  <Characters>219166</Characters>
  <CharactersWithSpaces>262973</CharactersWithSpaces>
  <Paragraphs>3633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