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Calibri" w:cs="Calibri" w:eastAsia="Calibri" w:hAnsi="Calibri"/>
          <w:sz w:val="11"/>
          <w:szCs w:val="11"/>
          <w:color w:val="003366"/>
        </w:rPr>
        <w:t>TABLE OF CONTENTS</w:t>
      </w:r>
    </w:p>
    <w:p>
      <w:pPr>
        <w:spacing w:after="0" w:line="3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May 22, 2026</w:t>
      </w:r>
    </w:p>
    <w:p>
      <w:pPr>
        <w:spacing w:after="0" w:line="23"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wp:posOffset>
            </wp:positionH>
            <wp:positionV relativeFrom="paragraph">
              <wp:posOffset>-4445</wp:posOffset>
            </wp:positionV>
            <wp:extent cx="473456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34560" cy="1333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27940</wp:posOffset>
            </wp:positionV>
            <wp:extent cx="47345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34560" cy="6350"/>
                    </a:xfrm>
                    <a:prstGeom prst="rect">
                      <a:avLst/>
                    </a:prstGeom>
                    <a:noFill/>
                  </pic:spPr>
                </pic:pic>
              </a:graphicData>
            </a:graphic>
          </wp:anchor>
        </w:drawing>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UNITED STATES</w:t>
      </w:r>
    </w:p>
    <w:p>
      <w:pPr>
        <w:jc w:val="center"/>
        <w:ind w:right="19"/>
        <w:spacing w:after="0" w:line="219"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41910</wp:posOffset>
            </wp:positionV>
            <wp:extent cx="9455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5515" cy="6350"/>
                    </a:xfrm>
                    <a:prstGeom prst="rect">
                      <a:avLst/>
                    </a:prstGeom>
                    <a:noFill/>
                  </pic:spPr>
                </pic:pic>
              </a:graphicData>
            </a:graphic>
          </wp:anchor>
        </w:drawing>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F-3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jc w:val="center"/>
        <w:ind w:right="39"/>
        <w:spacing w:after="0" w:line="233" w:lineRule="auto"/>
        <w:rPr>
          <w:sz w:val="20"/>
          <w:szCs w:val="20"/>
          <w:color w:val="auto"/>
        </w:rPr>
      </w:pPr>
      <w:r>
        <w:rPr>
          <w:rFonts w:ascii="Times New Roman" w:cs="Times New Roman" w:eastAsia="Times New Roman" w:hAnsi="Times New Roman"/>
          <w:sz w:val="12"/>
          <w:szCs w:val="1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66" w:lineRule="exact"/>
        <w:rPr>
          <w:sz w:val="24"/>
          <w:szCs w:val="24"/>
          <w:color w:val="auto"/>
        </w:rPr>
      </w:pPr>
    </w:p>
    <w:tbl>
      <w:tblPr>
        <w:tblLayout w:type="fixed"/>
        <w:tblInd w:w="780" w:type="dxa"/>
        <w:tblCellMar>
          <w:top w:w="0" w:type="dxa"/>
          <w:left w:w="0" w:type="dxa"/>
          <w:bottom w:w="0" w:type="dxa"/>
          <w:right w:w="0" w:type="dxa"/>
        </w:tblCellMar>
      </w:tblPr>
      <w:tr>
        <w:trPr>
          <w:trHeight w:val="20"/>
        </w:trPr>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6240" w:type="dxa"/>
            <w:vAlign w:val="bottom"/>
            <w:gridSpan w:val="5"/>
          </w:tcPr>
          <w:p>
            <w:pPr>
              <w:ind w:left="1400"/>
              <w:spacing w:after="0" w:line="176" w:lineRule="exact"/>
              <w:rPr>
                <w:sz w:val="20"/>
                <w:szCs w:val="20"/>
                <w:color w:val="auto"/>
              </w:rPr>
            </w:pPr>
            <w:r>
              <w:rPr>
                <w:rFonts w:ascii="Times New Roman" w:cs="Times New Roman" w:eastAsia="Times New Roman" w:hAnsi="Times New Roman"/>
                <w:sz w:val="19"/>
                <w:szCs w:val="19"/>
                <w:b w:val="1"/>
                <w:bCs w:val="1"/>
                <w:color w:val="auto"/>
              </w:rPr>
              <w:t>Baird Medical Investment Holdings Limited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440" w:type="dxa"/>
            <w:vAlign w:val="bottom"/>
            <w:gridSpan w:val="4"/>
          </w:tcPr>
          <w:p>
            <w:pPr>
              <w:jc w:val="center"/>
              <w:ind w:left="1815"/>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1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rPr>
              <w:t>(Translation of registrant’s name into English)</w:t>
            </w:r>
          </w:p>
        </w:tc>
        <w:tc>
          <w:tcPr>
            <w:tcW w:w="1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vMerge w:val="restart"/>
          </w:tcPr>
          <w:p>
            <w:pPr>
              <w:jc w:val="center"/>
              <w:ind w:left="395"/>
              <w:spacing w:after="0"/>
              <w:rPr>
                <w:sz w:val="20"/>
                <w:szCs w:val="20"/>
                <w:color w:val="auto"/>
              </w:rPr>
            </w:pPr>
            <w:r>
              <w:rPr>
                <w:rFonts w:ascii="Times New Roman" w:cs="Times New Roman" w:eastAsia="Times New Roman" w:hAnsi="Times New Roman"/>
                <w:sz w:val="12"/>
                <w:szCs w:val="12"/>
                <w:b w:val="1"/>
                <w:bCs w:val="1"/>
                <w:color w:val="auto"/>
                <w:w w:val="98"/>
              </w:rPr>
              <w:t>Cayman Islands</w:t>
            </w:r>
          </w:p>
        </w:tc>
        <w:tc>
          <w:tcPr>
            <w:tcW w:w="38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520" w:type="dxa"/>
            <w:vAlign w:val="bottom"/>
            <w:vMerge w:val="restart"/>
          </w:tcPr>
          <w:p>
            <w:pPr>
              <w:spacing w:after="0"/>
              <w:rPr>
                <w:sz w:val="4"/>
                <w:szCs w:val="4"/>
                <w:color w:val="auto"/>
              </w:rPr>
            </w:pPr>
          </w:p>
        </w:tc>
        <w:tc>
          <w:tcPr>
            <w:tcW w:w="1800" w:type="dxa"/>
            <w:vAlign w:val="bottom"/>
            <w:vMerge w:val="restart"/>
          </w:tcPr>
          <w:p>
            <w:pPr>
              <w:jc w:val="center"/>
              <w:ind w:right="503"/>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680" w:type="dxa"/>
            <w:vAlign w:val="bottom"/>
            <w:vMerge w:val="restart"/>
          </w:tcPr>
          <w:p>
            <w:pPr>
              <w:ind w:left="64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97"/>
        </w:trPr>
        <w:tc>
          <w:tcPr>
            <w:tcW w:w="56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5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6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40" w:type="dxa"/>
            <w:vAlign w:val="bottom"/>
          </w:tcPr>
          <w:p>
            <w:pPr>
              <w:jc w:val="center"/>
              <w:ind w:left="375"/>
              <w:spacing w:after="0" w:line="121"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380" w:type="dxa"/>
            <w:vAlign w:val="bottom"/>
          </w:tcPr>
          <w:p>
            <w:pPr>
              <w:spacing w:after="0"/>
              <w:rPr>
                <w:sz w:val="10"/>
                <w:szCs w:val="10"/>
                <w:color w:val="auto"/>
              </w:rPr>
            </w:pPr>
          </w:p>
        </w:tc>
        <w:tc>
          <w:tcPr>
            <w:tcW w:w="2020" w:type="dxa"/>
            <w:vAlign w:val="bottom"/>
            <w:gridSpan w:val="2"/>
          </w:tcPr>
          <w:p>
            <w:pPr>
              <w:jc w:val="center"/>
              <w:ind w:right="520"/>
              <w:spacing w:after="0" w:line="121" w:lineRule="exact"/>
              <w:rPr>
                <w:sz w:val="20"/>
                <w:szCs w:val="20"/>
                <w:color w:val="auto"/>
              </w:rPr>
            </w:pPr>
            <w:r>
              <w:rPr>
                <w:rFonts w:ascii="Times New Roman" w:cs="Times New Roman" w:eastAsia="Times New Roman" w:hAnsi="Times New Roman"/>
                <w:sz w:val="11"/>
                <w:szCs w:val="11"/>
                <w:color w:val="auto"/>
              </w:rPr>
              <w:t>​ ​</w:t>
            </w:r>
          </w:p>
        </w:tc>
        <w:tc>
          <w:tcPr>
            <w:tcW w:w="1800" w:type="dxa"/>
            <w:vAlign w:val="bottom"/>
          </w:tcPr>
          <w:p>
            <w:pPr>
              <w:jc w:val="center"/>
              <w:ind w:right="523"/>
              <w:spacing w:after="0" w:line="121" w:lineRule="exact"/>
              <w:rPr>
                <w:sz w:val="20"/>
                <w:szCs w:val="20"/>
                <w:color w:val="auto"/>
              </w:rPr>
            </w:pPr>
            <w:r>
              <w:rPr>
                <w:rFonts w:ascii="Times New Roman" w:cs="Times New Roman" w:eastAsia="Times New Roman" w:hAnsi="Times New Roman"/>
                <w:sz w:val="11"/>
                <w:szCs w:val="11"/>
                <w:color w:val="auto"/>
              </w:rPr>
              <w:t>(I.R.S. Employer</w:t>
            </w:r>
          </w:p>
        </w:tc>
        <w:tc>
          <w:tcPr>
            <w:tcW w:w="680" w:type="dxa"/>
            <w:vAlign w:val="bottom"/>
          </w:tcPr>
          <w:p>
            <w:pPr>
              <w:ind w:left="6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2040" w:type="dxa"/>
            <w:vAlign w:val="bottom"/>
          </w:tcPr>
          <w:p>
            <w:pPr>
              <w:jc w:val="center"/>
              <w:ind w:left="435"/>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jc w:val="center"/>
              <w:ind w:right="523"/>
              <w:spacing w:after="0"/>
              <w:rPr>
                <w:sz w:val="20"/>
                <w:szCs w:val="20"/>
                <w:color w:val="auto"/>
              </w:rPr>
            </w:pPr>
            <w:r>
              <w:rPr>
                <w:rFonts w:ascii="Times New Roman" w:cs="Times New Roman" w:eastAsia="Times New Roman" w:hAnsi="Times New Roman"/>
                <w:sz w:val="11"/>
                <w:szCs w:val="11"/>
                <w:color w:val="auto"/>
              </w:rPr>
              <w:t>Identification Number)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Room 202, 2/F, Baide Building, Building 11, No. 15</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Rongtong Street, Yuexiu District, Guangzhou, Peoples Republic of China</w:t>
      </w:r>
    </w:p>
    <w:p>
      <w:pPr>
        <w:jc w:val="center"/>
        <w:ind w:right="19"/>
        <w:spacing w:after="0" w:line="195" w:lineRule="auto"/>
        <w:rPr>
          <w:sz w:val="20"/>
          <w:szCs w:val="20"/>
          <w:color w:val="auto"/>
        </w:rPr>
      </w:pPr>
      <w:r>
        <w:rPr>
          <w:rFonts w:ascii="Times New Roman" w:cs="Times New Roman" w:eastAsia="Times New Roman" w:hAnsi="Times New Roman"/>
          <w:sz w:val="12"/>
          <w:szCs w:val="12"/>
          <w:b w:val="1"/>
          <w:bCs w:val="1"/>
          <w:color w:val="auto"/>
        </w:rPr>
        <w:t>(86) 20 8218-5926</w:t>
      </w:r>
    </w:p>
    <w:p>
      <w:pPr>
        <w:jc w:val="center"/>
        <w:ind w:right="19"/>
        <w:spacing w:after="0"/>
        <w:rPr>
          <w:sz w:val="20"/>
          <w:szCs w:val="20"/>
          <w:color w:val="auto"/>
        </w:rPr>
      </w:pPr>
      <w:r>
        <w:rPr>
          <w:rFonts w:ascii="Times New Roman" w:cs="Times New Roman" w:eastAsia="Times New Roman" w:hAnsi="Times New Roman"/>
          <w:sz w:val="11"/>
          <w:szCs w:val="1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47625</wp:posOffset>
            </wp:positionV>
            <wp:extent cx="9455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5515" cy="6350"/>
                    </a:xfrm>
                    <a:prstGeom prst="rect">
                      <a:avLst/>
                    </a:prstGeom>
                    <a:noFill/>
                  </pic:spPr>
                </pic:pic>
              </a:graphicData>
            </a:graphic>
          </wp:anchor>
        </w:drawing>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Puglisi &amp; Associates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850 Library Avenue, Suite 204</w:t>
      </w:r>
    </w:p>
    <w:p>
      <w:pPr>
        <w:jc w:val="center"/>
        <w:ind w:right="19"/>
        <w:spacing w:after="0" w:line="201" w:lineRule="auto"/>
        <w:rPr>
          <w:sz w:val="20"/>
          <w:szCs w:val="20"/>
          <w:color w:val="auto"/>
        </w:rPr>
      </w:pPr>
      <w:r>
        <w:rPr>
          <w:rFonts w:ascii="Times New Roman" w:cs="Times New Roman" w:eastAsia="Times New Roman" w:hAnsi="Times New Roman"/>
          <w:sz w:val="12"/>
          <w:szCs w:val="12"/>
          <w:b w:val="1"/>
          <w:bCs w:val="1"/>
          <w:color w:val="auto"/>
        </w:rPr>
        <w:t>Newark, DE 19711</w:t>
      </w:r>
    </w:p>
    <w:p>
      <w:pPr>
        <w:jc w:val="center"/>
        <w:ind w:right="19"/>
        <w:spacing w:after="0"/>
        <w:rPr>
          <w:sz w:val="20"/>
          <w:szCs w:val="20"/>
          <w:color w:val="auto"/>
        </w:rPr>
      </w:pPr>
      <w:r>
        <w:rPr>
          <w:rFonts w:ascii="Times New Roman" w:cs="Times New Roman" w:eastAsia="Times New Roman" w:hAnsi="Times New Roman"/>
          <w:sz w:val="11"/>
          <w:szCs w:val="1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41275</wp:posOffset>
            </wp:positionV>
            <wp:extent cx="9455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5515" cy="635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Dan Ouyang,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K. Ronnie Li, Esq.</w:t>
      </w: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Baker &amp; McKenzie LLP</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Suite 3401, China World Office 2</w:t>
      </w:r>
    </w:p>
    <w:p>
      <w:pPr>
        <w:jc w:val="center"/>
        <w:ind w:right="39"/>
        <w:spacing w:after="0" w:line="233" w:lineRule="auto"/>
        <w:rPr>
          <w:sz w:val="20"/>
          <w:szCs w:val="20"/>
          <w:color w:val="auto"/>
        </w:rPr>
      </w:pPr>
      <w:r>
        <w:rPr>
          <w:rFonts w:ascii="Times New Roman" w:cs="Times New Roman" w:eastAsia="Times New Roman" w:hAnsi="Times New Roman"/>
          <w:sz w:val="12"/>
          <w:szCs w:val="12"/>
          <w:b w:val="1"/>
          <w:bCs w:val="1"/>
          <w:color w:val="auto"/>
        </w:rPr>
        <w:t>China World Trade Centre</w:t>
      </w: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1 Jianguomenwai Dajie</w:t>
      </w:r>
    </w:p>
    <w:p>
      <w:pPr>
        <w:spacing w:after="0" w:line="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2"/>
          <w:szCs w:val="12"/>
          <w:b w:val="1"/>
          <w:bCs w:val="1"/>
          <w:color w:val="auto"/>
        </w:rPr>
        <w:t>Beijing 100004</w:t>
      </w:r>
    </w:p>
    <w:p>
      <w:pPr>
        <w:ind w:left="3800"/>
        <w:spacing w:after="0" w:line="233" w:lineRule="auto"/>
        <w:rPr>
          <w:sz w:val="20"/>
          <w:szCs w:val="20"/>
          <w:color w:val="auto"/>
        </w:rPr>
      </w:pPr>
      <w:r>
        <w:rPr>
          <w:rFonts w:ascii="Times New Roman" w:cs="Times New Roman" w:eastAsia="Times New Roman" w:hAnsi="Times New Roman"/>
          <w:sz w:val="12"/>
          <w:szCs w:val="12"/>
          <w:b w:val="1"/>
          <w:bCs w:val="1"/>
          <w:color w:val="auto"/>
        </w:rPr>
        <w:t>People’s Republic of China</w:t>
      </w:r>
    </w:p>
    <w:p>
      <w:pPr>
        <w:ind w:left="4060"/>
        <w:spacing w:after="0"/>
        <w:rPr>
          <w:sz w:val="20"/>
          <w:szCs w:val="20"/>
          <w:color w:val="auto"/>
        </w:rPr>
      </w:pPr>
      <w:r>
        <w:rPr>
          <w:rFonts w:ascii="Times New Roman" w:cs="Times New Roman" w:eastAsia="Times New Roman" w:hAnsi="Times New Roman"/>
          <w:sz w:val="12"/>
          <w:szCs w:val="12"/>
          <w:b w:val="1"/>
          <w:bCs w:val="1"/>
          <w:color w:val="auto"/>
        </w:rPr>
        <w:t>(86-10) 6535-3800</w:t>
      </w:r>
    </w:p>
    <w:p>
      <w:pPr>
        <w:spacing w:after="0" w:line="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32" w:lineRule="exact"/>
        <w:rPr>
          <w:sz w:val="24"/>
          <w:szCs w:val="24"/>
          <w:color w:val="auto"/>
        </w:rPr>
      </w:pPr>
    </w:p>
    <w:p>
      <w:pPr>
        <w:jc w:val="both"/>
        <w:ind w:left="780" w:right="799" w:firstLine="276"/>
        <w:spacing w:after="0" w:line="163" w:lineRule="exact"/>
        <w:rPr>
          <w:sz w:val="20"/>
          <w:szCs w:val="20"/>
          <w:color w:val="auto"/>
        </w:rPr>
      </w:pPr>
      <w:r>
        <w:rPr>
          <w:rFonts w:ascii="Times New Roman" w:cs="Times New Roman" w:eastAsia="Times New Roman" w:hAnsi="Times New Roman"/>
          <w:sz w:val="12"/>
          <w:szCs w:val="12"/>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jc w:val="both"/>
        <w:ind w:left="780" w:right="799" w:firstLine="276"/>
        <w:spacing w:after="0" w:line="155"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6" w:lineRule="exact"/>
        <w:rPr>
          <w:sz w:val="24"/>
          <w:szCs w:val="24"/>
          <w:color w:val="auto"/>
        </w:rPr>
      </w:pPr>
    </w:p>
    <w:p>
      <w:pPr>
        <w:jc w:val="both"/>
        <w:ind w:left="780" w:right="799" w:firstLine="276"/>
        <w:spacing w:after="0" w:line="157"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jc w:val="both"/>
        <w:ind w:left="780" w:right="779" w:firstLine="276"/>
        <w:spacing w:after="0" w:line="160"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jc w:val="both"/>
        <w:ind w:left="780" w:right="799" w:firstLine="276"/>
        <w:spacing w:after="0" w:line="155"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6" w:lineRule="exact"/>
        <w:rPr>
          <w:sz w:val="24"/>
          <w:szCs w:val="24"/>
          <w:color w:val="auto"/>
        </w:rPr>
      </w:pPr>
    </w:p>
    <w:p>
      <w:pPr>
        <w:jc w:val="both"/>
        <w:ind w:left="780" w:right="799" w:firstLine="276"/>
        <w:spacing w:after="0" w:line="157"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w:t>
      </w:r>
    </w:p>
    <w:p>
      <w:pPr>
        <w:spacing w:after="0" w:line="18" w:lineRule="exact"/>
        <w:rPr>
          <w:sz w:val="24"/>
          <w:szCs w:val="24"/>
          <w:color w:val="auto"/>
        </w:rPr>
      </w:pPr>
    </w:p>
    <w:p>
      <w:pPr>
        <w:ind w:left="10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47" w:lineRule="exact"/>
        <w:rPr>
          <w:sz w:val="24"/>
          <w:szCs w:val="24"/>
          <w:color w:val="auto"/>
        </w:rPr>
      </w:pPr>
    </w:p>
    <w:p>
      <w:pPr>
        <w:jc w:val="both"/>
        <w:ind w:left="780" w:right="799" w:firstLine="276"/>
        <w:spacing w:after="0" w:line="152"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 w:lineRule="exact"/>
        <w:rPr>
          <w:sz w:val="24"/>
          <w:szCs w:val="24"/>
          <w:color w:val="auto"/>
        </w:rPr>
      </w:pPr>
    </w:p>
    <w:p>
      <w:pPr>
        <w:jc w:val="both"/>
        <w:ind w:left="780" w:right="779" w:firstLine="276"/>
        <w:spacing w:after="0" w:line="250"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wp:posOffset>
            </wp:positionH>
            <wp:positionV relativeFrom="paragraph">
              <wp:posOffset>65405</wp:posOffset>
            </wp:positionV>
            <wp:extent cx="9455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5515" cy="6350"/>
                    </a:xfrm>
                    <a:prstGeom prst="rect">
                      <a:avLst/>
                    </a:prstGeom>
                    <a:noFill/>
                  </pic:spPr>
                </pic:pic>
              </a:graphicData>
            </a:graphic>
          </wp:anchor>
        </w:drawing>
      </w:r>
    </w:p>
    <w:p>
      <w:pPr>
        <w:spacing w:after="0" w:line="197" w:lineRule="exact"/>
        <w:rPr>
          <w:sz w:val="24"/>
          <w:szCs w:val="24"/>
          <w:color w:val="auto"/>
        </w:rPr>
      </w:pPr>
    </w:p>
    <w:p>
      <w:pPr>
        <w:ind w:left="1040" w:right="779" w:hanging="268"/>
        <w:spacing w:after="0" w:line="291" w:lineRule="auto"/>
        <w:tabs>
          <w:tab w:leader="none" w:pos="10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wp:posOffset>
            </wp:positionH>
            <wp:positionV relativeFrom="paragraph">
              <wp:posOffset>37465</wp:posOffset>
            </wp:positionV>
            <wp:extent cx="473456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4560" cy="6350"/>
                    </a:xfrm>
                    <a:prstGeom prst="rect">
                      <a:avLst/>
                    </a:prstGeom>
                    <a:noFill/>
                  </pic:spPr>
                </pic:pic>
              </a:graphicData>
            </a:graphic>
          </wp:anchor>
        </w:drawing>
      </w:r>
    </w:p>
    <w:p>
      <w:pPr>
        <w:spacing w:after="0" w:line="43"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wp:posOffset>
            </wp:positionH>
            <wp:positionV relativeFrom="paragraph">
              <wp:posOffset>1270</wp:posOffset>
            </wp:positionV>
            <wp:extent cx="473456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4560" cy="1333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192405</wp:posOffset>
            </wp:positionV>
            <wp:extent cx="52330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 w:name="page2"/>
    <w:bookmarkEnd w:id="1"/>
    <w:p>
      <w:pPr>
        <w:ind w:left="4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363" w:lineRule="exact"/>
        <w:rPr>
          <w:sz w:val="20"/>
          <w:szCs w:val="20"/>
          <w:color w:val="auto"/>
        </w:rPr>
      </w:pPr>
    </w:p>
    <w:tbl>
      <w:tblPr>
        <w:tblLayout w:type="fixed"/>
        <w:tblInd w:w="740" w:type="dxa"/>
        <w:tblCellMar>
          <w:top w:w="0" w:type="dxa"/>
          <w:left w:w="0" w:type="dxa"/>
          <w:bottom w:w="0" w:type="dxa"/>
          <w:right w:w="0" w:type="dxa"/>
        </w:tblCellMar>
      </w:tblPr>
      <w:tr>
        <w:trPr>
          <w:trHeight w:val="156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Securities and Exchange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permitted.</w:t>
            </w:r>
          </w:p>
        </w:tc>
      </w:tr>
      <w:tr>
        <w:trPr>
          <w:trHeight w:val="556"/>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filed with</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sale is not</w:t>
            </w:r>
          </w:p>
        </w:tc>
      </w:tr>
      <w:tr>
        <w:trPr>
          <w:trHeight w:val="4575"/>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be changed. These securities may not be sold until the registration statement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sell nor does it seek an offer to buy these securities in any jurisdiction where the offer or</w:t>
            </w:r>
          </w:p>
        </w:tc>
      </w:tr>
      <w:tr>
        <w:trPr>
          <w:trHeight w:val="75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complete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not an offer to</w:t>
            </w:r>
          </w:p>
        </w:tc>
      </w:tr>
      <w:tr>
        <w:trPr>
          <w:trHeight w:val="98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prospectus is not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This prospectus is</w:t>
            </w:r>
          </w:p>
        </w:tc>
      </w:tr>
      <w:tr>
        <w:trPr>
          <w:trHeight w:val="129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information in this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Commission is effective.</w:t>
            </w:r>
          </w:p>
        </w:tc>
      </w:tr>
    </w:tbl>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FC0014"/>
        </w:rPr>
        <w:t>Subject to Completion, dated May 22, 2026</w:t>
      </w:r>
    </w:p>
    <w:p>
      <w:pPr>
        <w:spacing w:after="0" w:line="17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0"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US$50,000,000</w:t>
      </w:r>
    </w:p>
    <w:p>
      <w:pPr>
        <w:spacing w:after="0" w:line="6"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ORDINARY SHARES</w:t>
      </w: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PREFERRED SHARES</w:t>
      </w:r>
    </w:p>
    <w:p>
      <w:pPr>
        <w:ind w:left="2880"/>
        <w:spacing w:after="0" w:line="237" w:lineRule="auto"/>
        <w:rPr>
          <w:sz w:val="20"/>
          <w:szCs w:val="20"/>
          <w:color w:val="auto"/>
        </w:rPr>
      </w:pPr>
      <w:r>
        <w:rPr>
          <w:rFonts w:ascii="Times New Roman" w:cs="Times New Roman" w:eastAsia="Times New Roman" w:hAnsi="Times New Roman"/>
          <w:sz w:val="14"/>
          <w:szCs w:val="14"/>
          <w:b w:val="1"/>
          <w:bCs w:val="1"/>
          <w:color w:val="auto"/>
        </w:rPr>
        <w:t>DEBT SECURITIES</w:t>
      </w:r>
    </w:p>
    <w:p>
      <w:pPr>
        <w:ind w:left="3100"/>
        <w:spacing w:after="0" w:line="232" w:lineRule="auto"/>
        <w:rPr>
          <w:sz w:val="20"/>
          <w:szCs w:val="20"/>
          <w:color w:val="auto"/>
        </w:rPr>
      </w:pPr>
      <w:r>
        <w:rPr>
          <w:rFonts w:ascii="Times New Roman" w:cs="Times New Roman" w:eastAsia="Times New Roman" w:hAnsi="Times New Roman"/>
          <w:sz w:val="14"/>
          <w:szCs w:val="14"/>
          <w:b w:val="1"/>
          <w:bCs w:val="1"/>
          <w:color w:val="auto"/>
        </w:rPr>
        <w:t>WARRANTS</w:t>
      </w:r>
    </w:p>
    <w:p>
      <w:pPr>
        <w:ind w:left="3280"/>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6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BAIRD MEDICAL INVESTMENT HOLDINGS LIMITED</w:t>
      </w:r>
    </w:p>
    <w:p>
      <w:pPr>
        <w:spacing w:after="0" w:line="112" w:lineRule="exact"/>
        <w:rPr>
          <w:sz w:val="20"/>
          <w:szCs w:val="20"/>
          <w:color w:val="auto"/>
        </w:rPr>
      </w:pPr>
    </w:p>
    <w:p>
      <w:pPr>
        <w:jc w:val="both"/>
        <w:ind w:right="779" w:firstLine="276"/>
        <w:spacing w:after="0" w:line="245" w:lineRule="auto"/>
        <w:rPr>
          <w:sz w:val="20"/>
          <w:szCs w:val="20"/>
          <w:color w:val="auto"/>
        </w:rPr>
      </w:pPr>
      <w:r>
        <w:rPr>
          <w:rFonts w:ascii="Times New Roman" w:cs="Times New Roman" w:eastAsia="Times New Roman" w:hAnsi="Times New Roman"/>
          <w:sz w:val="14"/>
          <w:szCs w:val="14"/>
          <w:color w:val="auto"/>
        </w:rPr>
        <w:t>Baird Medical Investment Holdings Limited (“we,” “us,” “Baird Medical” or “our company”) may from time to time in one or more offerings offer and sell ordinary shares, par value $0.0001 per share (the “Ordinary Shares”), preferred shares, debt securities, warrants, either individually or as units composed of one or more of the other securities, of an aggregate offering price of up to US$50,000,000.</w:t>
      </w:r>
    </w:p>
    <w:p>
      <w:pPr>
        <w:spacing w:after="0" w:line="87" w:lineRule="exact"/>
        <w:rPr>
          <w:sz w:val="20"/>
          <w:szCs w:val="20"/>
          <w:color w:val="auto"/>
        </w:rPr>
      </w:pPr>
    </w:p>
    <w:p>
      <w:pPr>
        <w:jc w:val="both"/>
        <w:ind w:right="779" w:firstLine="276"/>
        <w:spacing w:after="0"/>
        <w:rPr>
          <w:sz w:val="20"/>
          <w:szCs w:val="20"/>
          <w:color w:val="auto"/>
        </w:rPr>
      </w:pPr>
      <w:r>
        <w:rPr>
          <w:rFonts w:ascii="Times New Roman" w:cs="Times New Roman" w:eastAsia="Times New Roman" w:hAnsi="Times New Roman"/>
          <w:sz w:val="14"/>
          <w:szCs w:val="14"/>
          <w:color w:val="auto"/>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As of the date of this prospectus, the aggregate market value of our outstanding Ordinary Shares was below US $75 million, and accordingly, our public float was also below US$75 million. During the 12 calendar months prior to and including the date of this prospectus, we have not offered or sold any securities pursuant to General Instruction I.B.5 of Form F-3.</w:t>
      </w:r>
    </w:p>
    <w:p>
      <w:pPr>
        <w:spacing w:after="0" w:line="93" w:lineRule="exact"/>
        <w:rPr>
          <w:sz w:val="20"/>
          <w:szCs w:val="20"/>
          <w:color w:val="auto"/>
        </w:rPr>
      </w:pPr>
    </w:p>
    <w:p>
      <w:pPr>
        <w:jc w:val="both"/>
        <w:ind w:right="779" w:firstLine="276"/>
        <w:spacing w:after="0" w:line="245" w:lineRule="auto"/>
        <w:rPr>
          <w:sz w:val="20"/>
          <w:szCs w:val="20"/>
          <w:color w:val="auto"/>
        </w:rPr>
      </w:pPr>
      <w:r>
        <w:rPr>
          <w:rFonts w:ascii="Times New Roman" w:cs="Times New Roman" w:eastAsia="Times New Roman" w:hAnsi="Times New Roman"/>
          <w:sz w:val="14"/>
          <w:szCs w:val="14"/>
          <w:color w:val="auto"/>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88" w:lineRule="exact"/>
        <w:rPr>
          <w:sz w:val="20"/>
          <w:szCs w:val="20"/>
          <w:color w:val="auto"/>
        </w:rPr>
      </w:pPr>
    </w:p>
    <w:p>
      <w:pPr>
        <w:jc w:val="both"/>
        <w:ind w:right="799" w:firstLine="276"/>
        <w:spacing w:after="0" w:line="244" w:lineRule="auto"/>
        <w:rPr>
          <w:sz w:val="20"/>
          <w:szCs w:val="20"/>
          <w:color w:val="auto"/>
        </w:rPr>
      </w:pPr>
      <w:r>
        <w:rPr>
          <w:rFonts w:ascii="Times New Roman" w:cs="Times New Roman" w:eastAsia="Times New Roman" w:hAnsi="Times New Roman"/>
          <w:sz w:val="14"/>
          <w:szCs w:val="14"/>
          <w:color w:val="auto"/>
        </w:rPr>
        <w:t>Our Ordinary Shares and our Warrants to purchase Ordinary Shares are listed on the Nasdaq Stock Market LLC (“Nasdaq”), under the trading symbols “BDMD” and “BDMD W,” respectively. On May 21, 2026, the closing price for our Ordinary Shares on Nasdaq was US$1.64, and the closing price for our Warrants on Nasdaq was US$0.055.</w:t>
      </w:r>
    </w:p>
    <w:p>
      <w:pPr>
        <w:spacing w:after="0" w:line="88" w:lineRule="exact"/>
        <w:rPr>
          <w:sz w:val="20"/>
          <w:szCs w:val="20"/>
          <w:color w:val="auto"/>
        </w:rPr>
      </w:pPr>
    </w:p>
    <w:p>
      <w:pPr>
        <w:jc w:val="both"/>
        <w:ind w:right="799" w:firstLine="276"/>
        <w:spacing w:after="0" w:line="252"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82" w:lineRule="exact"/>
        <w:rPr>
          <w:sz w:val="20"/>
          <w:szCs w:val="20"/>
          <w:color w:val="auto"/>
        </w:rPr>
      </w:pPr>
    </w:p>
    <w:p>
      <w:pPr>
        <w:jc w:val="both"/>
        <w:ind w:right="779" w:firstLine="276"/>
        <w:spacing w:after="0"/>
        <w:rPr>
          <w:sz w:val="20"/>
          <w:szCs w:val="20"/>
          <w:color w:val="auto"/>
        </w:rPr>
      </w:pPr>
      <w:r>
        <w:rPr>
          <w:rFonts w:ascii="Times New Roman" w:cs="Times New Roman" w:eastAsia="Times New Roman" w:hAnsi="Times New Roman"/>
          <w:sz w:val="14"/>
          <w:szCs w:val="14"/>
          <w:color w:val="auto"/>
        </w:rPr>
        <w:t>Baird Medical is a Cayman Islands holding company and not a Chinese operating company. We carry out our business in China through our wholly-owned PRC subsidiaries. We face various legal and operational risks and uncertainties associated with being based in or having substantially all of our operations in China. We are subject to complex and evolving laws and regulations in China. The PRC government has indicated an intent to exert more oversight and control over offerings that are conducted overseas and/or foreign investment in China-based issuers, and initiated various regulatory actions and made various public statements, some of which are published with very short notice, including cracking down on illegal activities in the securities market, enhancing supervision over China-based companies listed overseas, adopting new measures to extend the scope of cybersecurity reviews, and expanding efforts in anti-monopoly enforcement. For instance,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Ordinary Shares, significantly limit or completely hinder our ability to offer or continue to offer securities to investors, or cause the value of such securities to significantly decline or become worthless. For details, see “Item 3. Key Information — D. Risk Factors — Risks Related to Doing Business in China” in our annual report on Form 20-F for the year ended December 31, 2025 filed with the SEC on April 24, 2026 (the “2025 20-F”).</w:t>
      </w:r>
    </w:p>
    <w:p>
      <w:pPr>
        <w:spacing w:after="0" w:line="233" w:lineRule="exact"/>
        <w:rPr>
          <w:sz w:val="20"/>
          <w:szCs w:val="20"/>
          <w:color w:val="auto"/>
        </w:rPr>
      </w:pPr>
    </w:p>
    <w:p>
      <w:pPr>
        <w:jc w:val="both"/>
        <w:ind w:right="779" w:firstLine="276"/>
        <w:spacing w:after="0"/>
        <w:rPr>
          <w:sz w:val="20"/>
          <w:szCs w:val="20"/>
          <w:color w:val="auto"/>
        </w:rPr>
      </w:pPr>
      <w:r>
        <w:rPr>
          <w:rFonts w:ascii="Times New Roman" w:cs="Times New Roman" w:eastAsia="Times New Roman" w:hAnsi="Times New Roman"/>
          <w:sz w:val="14"/>
          <w:szCs w:val="14"/>
          <w:color w:val="auto"/>
        </w:rPr>
        <w:t>We are subject to a number of prohibitions, restrictions and potential delisting risk under the Holding Foreign Companies Accountable Act, as amended by the Consolidated Appropriations Act 2023 (the “HFCAA”).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278765</wp:posOffset>
            </wp:positionV>
            <wp:extent cx="52076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38735"/>
                    </a:xfrm>
                    <a:prstGeom prst="rect">
                      <a:avLst/>
                    </a:prstGeom>
                    <a:noFill/>
                  </pic:spPr>
                </pic:pic>
              </a:graphicData>
            </a:graphic>
          </wp:anchor>
        </w:drawing>
      </w:r>
    </w:p>
    <w:p>
      <w:pPr>
        <w:sectPr>
          <w:pgSz w:w="11900" w:h="16838" w:orient="portrait"/>
          <w:cols w:equalWidth="0" w:num="2">
            <w:col w:w="980" w:space="280"/>
            <w:col w:w="7759"/>
          </w:cols>
          <w:pgMar w:left="1440" w:top="108" w:right="1440" w:bottom="1440" w:gutter="0" w:footer="0" w:header="0"/>
          <w:type w:val="continuous"/>
        </w:sectPr>
      </w:pPr>
    </w:p>
    <w:bookmarkStart w:id="2" w:name="page3"/>
    <w:bookmarkEnd w:id="2"/>
    <w:p>
      <w:pPr>
        <w:ind w:left="4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363" w:lineRule="exact"/>
        <w:rPr>
          <w:sz w:val="20"/>
          <w:szCs w:val="20"/>
          <w:color w:val="auto"/>
        </w:rPr>
      </w:pPr>
    </w:p>
    <w:tbl>
      <w:tblPr>
        <w:tblLayout w:type="fixed"/>
        <w:tblInd w:w="740" w:type="dxa"/>
        <w:tblCellMar>
          <w:top w:w="0" w:type="dxa"/>
          <w:left w:w="0" w:type="dxa"/>
          <w:bottom w:w="0" w:type="dxa"/>
          <w:right w:w="0" w:type="dxa"/>
        </w:tblCellMar>
      </w:tblPr>
      <w:tr>
        <w:trPr>
          <w:trHeight w:val="156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Securities and Exchange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permitted.</w:t>
            </w:r>
          </w:p>
        </w:tc>
      </w:tr>
      <w:tr>
        <w:trPr>
          <w:trHeight w:val="556"/>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filed with</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sale is not</w:t>
            </w:r>
          </w:p>
        </w:tc>
      </w:tr>
      <w:tr>
        <w:trPr>
          <w:trHeight w:val="4575"/>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be changed. These securities may not be sold until the registration statement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sell nor does it seek an offer to buy these securities in any jurisdiction where the offer or</w:t>
            </w:r>
          </w:p>
        </w:tc>
      </w:tr>
      <w:tr>
        <w:trPr>
          <w:trHeight w:val="75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complete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not an offer to</w:t>
            </w:r>
          </w:p>
        </w:tc>
      </w:tr>
      <w:tr>
        <w:trPr>
          <w:trHeight w:val="98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prospectus is not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This prospectus is</w:t>
            </w:r>
          </w:p>
        </w:tc>
      </w:tr>
      <w:tr>
        <w:trPr>
          <w:trHeight w:val="129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information in this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Commission is effective.</w:t>
            </w: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both"/>
        <w:ind w:right="779"/>
        <w:spacing w:after="0" w:line="247" w:lineRule="auto"/>
        <w:rPr>
          <w:sz w:val="20"/>
          <w:szCs w:val="20"/>
          <w:color w:val="auto"/>
        </w:rPr>
      </w:pPr>
      <w:r>
        <w:rPr>
          <w:rFonts w:ascii="Times New Roman" w:cs="Times New Roman" w:eastAsia="Times New Roman" w:hAnsi="Times New Roman"/>
          <w:sz w:val="14"/>
          <w:szCs w:val="14"/>
          <w:color w:val="auto"/>
        </w:rPr>
        <w:t>and the trading of our securities on any U.S. national securities exchange, as well as any over-the-counter trading in the United States, will be prohibited if we are identified as a Commission-identified Issuer for two consecutive years.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We dismissed Marcum Asia CPAs LLP (“Marcum Asia”) and appointed Kreit &amp; Chiu CPA LLP (“Kreit &amp; Chiu”) as our independent registered public accounting firm, effective from January 24, 2025. We subsequently dismissed Kreit &amp; Chiu and appointed Guangdong Prouden CPAs GP (“Guangdong Prouden”) as our independent registered public accounting firm. Marcum Asia and Kreit &amp; Chiu, our former auditors, are independent public accounting firms registered with the PCAOB, are headquartered in the United States, and were not identified in the PCAOB’s 2021 determination report. Our current auditor, Guangdong Prouden, is an independent registered public accounting firm registered with the PCAOB, is headquartered in Guangzhou, China, and is subject to PCAOB inspections on a regular basis.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we will be identified as a “Commission-identified Issuer,” and upon two consecutive years of non-inspection under the HFCAA, the Ordinary Shares will be delisted from the Nasdaq Stock Market and will not be permitted for trading over the counter either.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w:t>
      </w:r>
    </w:p>
    <w:p>
      <w:pPr>
        <w:spacing w:after="0" w:line="263" w:lineRule="exact"/>
        <w:rPr>
          <w:sz w:val="20"/>
          <w:szCs w:val="20"/>
          <w:color w:val="auto"/>
        </w:rPr>
      </w:pPr>
    </w:p>
    <w:p>
      <w:pPr>
        <w:jc w:val="both"/>
        <w:ind w:right="779" w:firstLine="276"/>
        <w:spacing w:after="0" w:line="253" w:lineRule="auto"/>
        <w:rPr>
          <w:sz w:val="20"/>
          <w:szCs w:val="20"/>
          <w:color w:val="auto"/>
        </w:rPr>
      </w:pPr>
      <w:r>
        <w:rPr>
          <w:rFonts w:ascii="Times New Roman" w:cs="Times New Roman" w:eastAsia="Times New Roman" w:hAnsi="Times New Roman"/>
          <w:sz w:val="14"/>
          <w:szCs w:val="14"/>
          <w:color w:val="auto"/>
        </w:rPr>
        <w:t>Cash may be transferred among Baird Medical and our PRC subsidiaries, in the following manners: (1) funds may be transferred to our PRC subsidiaries from Baird Medical as needed through our subsidiaries in the British Virgin Islands (“BVI”) and Hong Kong in the form of capital contribution or shareholder loan, as the case may be;</w:t>
      </w:r>
    </w:p>
    <w:p>
      <w:pPr>
        <w:spacing w:after="0" w:line="1" w:lineRule="exact"/>
        <w:rPr>
          <w:sz w:val="20"/>
          <w:szCs w:val="20"/>
          <w:color w:val="auto"/>
        </w:rPr>
      </w:pPr>
    </w:p>
    <w:p>
      <w:pPr>
        <w:jc w:val="both"/>
        <w:ind w:right="779" w:firstLine="9"/>
        <w:spacing w:after="0" w:line="247" w:lineRule="auto"/>
        <w:tabs>
          <w:tab w:leader="none" w:pos="21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or other distributions may be paid by our PRC subsidiaries to Baird Medical through our subsidiaries in the BVI and Hong Kong; and (3) our PRC subsidiaries may lend to and borrow from each other from time to time for business operation purposes.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For details, see “Prospectus Summary — Implication of Being a Company with the Holding Company Structure — Cash and asset flows through our organization.”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See “Prospectus Summary —  Implication of Being a Company with the Holding Company Structure — Dividend distribution and taxation.”</w:t>
      </w:r>
    </w:p>
    <w:p>
      <w:pPr>
        <w:spacing w:after="0" w:line="98" w:lineRule="exact"/>
        <w:rPr>
          <w:sz w:val="20"/>
          <w:szCs w:val="20"/>
          <w:color w:val="auto"/>
        </w:rPr>
      </w:pPr>
    </w:p>
    <w:p>
      <w:pPr>
        <w:jc w:val="both"/>
        <w:ind w:right="779" w:firstLine="276"/>
        <w:spacing w:after="0" w:line="248" w:lineRule="auto"/>
        <w:rPr>
          <w:sz w:val="20"/>
          <w:szCs w:val="20"/>
          <w:color w:val="auto"/>
        </w:rPr>
      </w:pPr>
      <w:r>
        <w:rPr>
          <w:rFonts w:ascii="Times New Roman" w:cs="Times New Roman" w:eastAsia="Times New Roman" w:hAnsi="Times New Roman"/>
          <w:sz w:val="14"/>
          <w:szCs w:val="14"/>
          <w:color w:val="auto"/>
        </w:rPr>
        <w:t>On February 17, 2023, the CSRC promulgated Trial Administrative Measures of the Overseas Securities Offering and Listing by Domestic Companies (the “Overseas Listing Trial Measures”) and circulated five supporting guidelines, which became effective on March 31, 2023. The Overseas Listing Trial Measures regulate both direct and indirect overseas offering and listing of PRC domestic companies’ securities by adopting a filing-based regulatory regime. We completed the filing procedures in connection with the business combination with ExcelFin Acquisition Corp. (“ExcelFin”) (such business combination, the “Business Combination”) under the Overseas Listing Trial Measures on January 2, 2024, and the result of such CSRC approval was posted on the official website of the CSRC on the same date. 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In addition, we cannot guarantee that new rules or regulations promulgated in the future will not impose any additional requirement or otherwise tightening the regulations on companies with contractual arrangements. If we violate or are deemed to have violated any current or future rules or regulations, regulatory agencies in China may impose fines and penalties on our operations in China, limit its operating privileges in China, delay or restrict the repatriation of the proceeds from offshore fund-raising activities into the PRC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282575</wp:posOffset>
            </wp:positionV>
            <wp:extent cx="520763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38735"/>
                    </a:xfrm>
                    <a:prstGeom prst="rect">
                      <a:avLst/>
                    </a:prstGeom>
                    <a:noFill/>
                  </pic:spPr>
                </pic:pic>
              </a:graphicData>
            </a:graphic>
          </wp:anchor>
        </w:drawing>
      </w:r>
    </w:p>
    <w:p>
      <w:pPr>
        <w:sectPr>
          <w:pgSz w:w="11900" w:h="16838" w:orient="portrait"/>
          <w:cols w:equalWidth="0" w:num="2">
            <w:col w:w="980" w:space="280"/>
            <w:col w:w="7759"/>
          </w:cols>
          <w:pgMar w:left="1440" w:top="108" w:right="1440" w:bottom="1440" w:gutter="0" w:footer="0" w:header="0"/>
          <w:type w:val="continuous"/>
        </w:sectPr>
      </w:pPr>
    </w:p>
    <w:bookmarkStart w:id="3" w:name="page4"/>
    <w:bookmarkEnd w:id="3"/>
    <w:p>
      <w:pPr>
        <w:ind w:left="4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363" w:lineRule="exact"/>
        <w:rPr>
          <w:sz w:val="20"/>
          <w:szCs w:val="20"/>
          <w:color w:val="auto"/>
        </w:rPr>
      </w:pPr>
    </w:p>
    <w:tbl>
      <w:tblPr>
        <w:tblLayout w:type="fixed"/>
        <w:tblInd w:w="740" w:type="dxa"/>
        <w:tblCellMar>
          <w:top w:w="0" w:type="dxa"/>
          <w:left w:w="0" w:type="dxa"/>
          <w:bottom w:w="0" w:type="dxa"/>
          <w:right w:w="0" w:type="dxa"/>
        </w:tblCellMar>
      </w:tblPr>
      <w:tr>
        <w:trPr>
          <w:trHeight w:val="156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Securities and Exchange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permitted.</w:t>
            </w:r>
          </w:p>
        </w:tc>
      </w:tr>
      <w:tr>
        <w:trPr>
          <w:trHeight w:val="556"/>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filed with</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sale is not</w:t>
            </w:r>
          </w:p>
        </w:tc>
      </w:tr>
      <w:tr>
        <w:trPr>
          <w:trHeight w:val="4575"/>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be changed. These securities may not be sold until the registration statement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sell nor does it seek an offer to buy these securities in any jurisdiction where the offer or</w:t>
            </w:r>
          </w:p>
        </w:tc>
      </w:tr>
      <w:tr>
        <w:trPr>
          <w:trHeight w:val="75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complete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not an offer to</w:t>
            </w:r>
          </w:p>
        </w:tc>
      </w:tr>
      <w:tr>
        <w:trPr>
          <w:trHeight w:val="98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prospectus is not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This prospectus is</w:t>
            </w:r>
          </w:p>
        </w:tc>
      </w:tr>
      <w:tr>
        <w:trPr>
          <w:trHeight w:val="129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information in this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Commission is effective.</w:t>
            </w: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both"/>
        <w:ind w:right="779"/>
        <w:spacing w:after="0" w:line="241" w:lineRule="auto"/>
        <w:rPr>
          <w:sz w:val="20"/>
          <w:szCs w:val="20"/>
          <w:color w:val="auto"/>
        </w:rPr>
      </w:pPr>
      <w:r>
        <w:rPr>
          <w:rFonts w:ascii="Times New Roman" w:cs="Times New Roman" w:eastAsia="Times New Roman" w:hAnsi="Times New Roman"/>
          <w:sz w:val="14"/>
          <w:szCs w:val="14"/>
          <w:color w:val="auto"/>
        </w:rPr>
        <w:t>take other actions that could materially adversely affect our business, financial condition and results of operations, as well as the trading price of our Ordinary Shares. See “Prospectus Summary — Regulatory Matters” and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w:t>
      </w:r>
    </w:p>
    <w:p>
      <w:pPr>
        <w:spacing w:after="0" w:line="91" w:lineRule="exact"/>
        <w:rPr>
          <w:sz w:val="20"/>
          <w:szCs w:val="20"/>
          <w:color w:val="auto"/>
        </w:rPr>
      </w:pPr>
    </w:p>
    <w:p>
      <w:pPr>
        <w:jc w:val="both"/>
        <w:ind w:right="779" w:firstLine="276"/>
        <w:spacing w:after="0" w:line="247" w:lineRule="auto"/>
        <w:rPr>
          <w:sz w:val="20"/>
          <w:szCs w:val="20"/>
          <w:color w:val="auto"/>
        </w:rPr>
      </w:pPr>
      <w:r>
        <w:rPr>
          <w:rFonts w:ascii="Times New Roman" w:cs="Times New Roman" w:eastAsia="Times New Roman" w:hAnsi="Times New Roman"/>
          <w:sz w:val="14"/>
          <w:szCs w:val="14"/>
          <w:color w:val="auto"/>
        </w:rPr>
        <w:t>To the extent our cash or assets in the business are in mainland China or Hong Kong or a mainland China or Hong Kong subsidiary, the funds or assets may not be available to fund operations or for other use outside of mainland China or Hong Kong due to interventions in or the imposition of restrictions and limitations on the ability of Baird Medical and our subsidiaries to transfer cash or assets. The PRC government imposes certain restrictions on the convertibility of RMB into foreign currencies and the remittance of funds out of China, which may restrict the transfer of cash between Baird Medical and our PRC subsidiaries or the investors. Under PRC laws and regulations, our PRC subsidiaries are subject to certain restrictions with respect to payment of dividends or otherwise transfers of any of their net assets to us. Remittance of dividends by our PRC subsidiaries out of China is also subject to certain procedures with the banks designated by the PRC State Administration of Foreign Exchange.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“Prospectus Summary — Implication of Being a Company with the Holding Company Structure — Cash and asset flows through our organization,”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w:t>
      </w:r>
    </w:p>
    <w:p>
      <w:pPr>
        <w:spacing w:after="0" w:line="274" w:lineRule="exact"/>
        <w:rPr>
          <w:sz w:val="20"/>
          <w:szCs w:val="20"/>
          <w:color w:val="auto"/>
        </w:rPr>
      </w:pPr>
    </w:p>
    <w:p>
      <w:pPr>
        <w:jc w:val="both"/>
        <w:ind w:right="799" w:firstLine="276"/>
        <w:spacing w:after="0" w:line="266" w:lineRule="auto"/>
        <w:rPr>
          <w:sz w:val="20"/>
          <w:szCs w:val="20"/>
          <w:color w:val="auto"/>
        </w:rPr>
      </w:pPr>
      <w:r>
        <w:rPr>
          <w:rFonts w:ascii="Times New Roman" w:cs="Times New Roman" w:eastAsia="Times New Roman" w:hAnsi="Times New Roman"/>
          <w:sz w:val="14"/>
          <w:szCs w:val="14"/>
          <w:color w:val="auto"/>
        </w:rPr>
        <w:t>We are an “emerging growth company” as that term is used in the Jumpstart Our Business Startups Act of 2012, as amended, and, as such, may elect to comply with certain reduced public company reporting requirements in future reports.</w:t>
      </w:r>
    </w:p>
    <w:p>
      <w:pPr>
        <w:spacing w:after="0" w:line="243" w:lineRule="exact"/>
        <w:rPr>
          <w:sz w:val="20"/>
          <w:szCs w:val="20"/>
          <w:color w:val="auto"/>
        </w:rPr>
      </w:pPr>
    </w:p>
    <w:p>
      <w:pPr>
        <w:jc w:val="both"/>
        <w:ind w:right="779" w:firstLine="276"/>
        <w:spacing w:after="0" w:line="250" w:lineRule="auto"/>
        <w:rPr>
          <w:sz w:val="20"/>
          <w:szCs w:val="20"/>
          <w:color w:val="auto"/>
        </w:rPr>
      </w:pPr>
      <w:r>
        <w:rPr>
          <w:rFonts w:ascii="Times New Roman" w:cs="Times New Roman" w:eastAsia="Times New Roman" w:hAnsi="Times New Roman"/>
          <w:sz w:val="14"/>
          <w:szCs w:val="14"/>
          <w:color w:val="auto"/>
        </w:rPr>
        <w:t>We are a foreign private issuer within the meaning of the rules under the Securities Exchange Act of 1934, as amended (the “Exchange Act”), and as such we are exempt from certain provisions of the securities rules and regulations in the United States that are applicable to U.S. domestic issuers, such as the rules regulating solicitation of proxies and certain insider short-swing profit rules.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w:t>
      </w:r>
    </w:p>
    <w:p>
      <w:pPr>
        <w:spacing w:after="0" w:line="260" w:lineRule="exact"/>
        <w:rPr>
          <w:sz w:val="20"/>
          <w:szCs w:val="20"/>
          <w:color w:val="auto"/>
        </w:rPr>
      </w:pPr>
    </w:p>
    <w:p>
      <w:pPr>
        <w:jc w:val="both"/>
        <w:ind w:right="779" w:firstLine="276"/>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high degree of risk. See “Risk Factors” beginning on page </w:t>
      </w:r>
      <w:r>
        <w:rPr>
          <w:rFonts w:ascii="Times New Roman" w:cs="Times New Roman" w:eastAsia="Times New Roman" w:hAnsi="Times New Roman"/>
          <w:sz w:val="14"/>
          <w:szCs w:val="14"/>
          <w:b w:val="1"/>
          <w:bCs w:val="1"/>
          <w:u w:val="single" w:color="auto"/>
          <w:color w:val="0000EE"/>
        </w:rPr>
        <w:t>11</w:t>
      </w:r>
      <w:r>
        <w:rPr>
          <w:rFonts w:ascii="Times New Roman" w:cs="Times New Roman" w:eastAsia="Times New Roman" w:hAnsi="Times New Roman"/>
          <w:sz w:val="14"/>
          <w:szCs w:val="14"/>
          <w:b w:val="1"/>
          <w:bCs w:val="1"/>
          <w:color w:val="auto"/>
        </w:rPr>
        <w:t xml:space="preserve"> of this prospectus and other risk factors contained in the documents incorporated by reference herein for a discussion of information that should be considered in connection with an investment in our securities.</w:t>
      </w:r>
    </w:p>
    <w:p>
      <w:pPr>
        <w:spacing w:after="0" w:line="83" w:lineRule="exact"/>
        <w:rPr>
          <w:sz w:val="20"/>
          <w:szCs w:val="20"/>
          <w:color w:val="auto"/>
        </w:rPr>
      </w:pPr>
    </w:p>
    <w:p>
      <w:pPr>
        <w:jc w:val="both"/>
        <w:ind w:right="779" w:firstLine="276"/>
        <w:spacing w:after="0" w:line="262"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1292" w:lineRule="exact"/>
        <w:rPr>
          <w:sz w:val="20"/>
          <w:szCs w:val="20"/>
          <w:color w:val="auto"/>
        </w:rPr>
      </w:pPr>
    </w:p>
    <w:p>
      <w:pPr>
        <w:sectPr>
          <w:pgSz w:w="11900" w:h="16838" w:orient="portrait"/>
          <w:cols w:equalWidth="0" w:num="2">
            <w:col w:w="980" w:space="280"/>
            <w:col w:w="7759"/>
          </w:cols>
          <w:pgMar w:left="1440" w:top="108" w:right="1440"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1"/>
          <w:szCs w:val="11"/>
          <w:b w:val="1"/>
          <w:bCs w:val="1"/>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213360</wp:posOffset>
            </wp:positionV>
            <wp:extent cx="52076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076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4" w:name="page5"/>
    <w:bookmarkEnd w:id="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-86995</wp:posOffset>
            </wp:positionV>
            <wp:extent cx="3996055" cy="92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96055" cy="92075"/>
                    </a:xfrm>
                    <a:prstGeom prst="rect">
                      <a:avLst/>
                    </a:prstGeom>
                    <a:noFill/>
                  </pic:spPr>
                </pic:pic>
              </a:graphicData>
            </a:graphic>
          </wp:anchor>
        </w:drawing>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PROSPECTUS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wp:posOffset>
            </wp:positionV>
            <wp:extent cx="3996055" cy="15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DOCUMENTS BY REFERENCE</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-8255</wp:posOffset>
            </wp:positionV>
            <wp:extent cx="3996055"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-8255</wp:posOffset>
            </wp:positionV>
            <wp:extent cx="3996055"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SECURITIES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-8255</wp:posOffset>
            </wp:positionV>
            <wp:extent cx="3996055" cy="15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PREFERRED SHARES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-8255</wp:posOffset>
            </wp:positionV>
            <wp:extent cx="3996055"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-8255</wp:posOffset>
            </wp:positionV>
            <wp:extent cx="3996055" cy="15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TAXATION</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10795</wp:posOffset>
            </wp:positionV>
            <wp:extent cx="3992880" cy="236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92880" cy="236220"/>
                    </a:xfrm>
                    <a:prstGeom prst="rect">
                      <a:avLst/>
                    </a:prstGeom>
                    <a:noFill/>
                  </pic:spPr>
                </pic:pic>
              </a:graphicData>
            </a:graphic>
          </wp:anchor>
        </w:drawing>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ENFORCEABILITY OF CIVIL LIABILITIES AND AGENT FOR SERVICE OF PROCESS IN THE</w:t>
      </w:r>
    </w:p>
    <w:p>
      <w:pPr>
        <w:spacing w:after="0" w:line="15" w:lineRule="exact"/>
        <w:rPr>
          <w:sz w:val="20"/>
          <w:szCs w:val="20"/>
          <w:color w:val="auto"/>
        </w:rPr>
      </w:pPr>
    </w:p>
    <w:p>
      <w:pPr>
        <w:ind w:left="1500" w:hanging="140"/>
        <w:spacing w:after="0"/>
        <w:tabs>
          <w:tab w:leader="none" w:pos="1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UNITED STATES</w:t>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EXPENSES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RELATED TO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-8255</wp:posOffset>
            </wp:positionV>
            <wp:extent cx="3996055"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10795</wp:posOffset>
            </wp:positionV>
            <wp:extent cx="3996055"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36</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37</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43</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45</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46</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49</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50</w:t>
      </w:r>
      <w:r>
        <w:rPr>
          <w:rFonts w:ascii="Times New Roman" w:cs="Times New Roman" w:eastAsia="Times New Roman" w:hAnsi="Times New Roman"/>
          <w:sz w:val="14"/>
          <w:szCs w:val="14"/>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52</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53</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54</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55</w:t>
      </w:r>
      <w:r>
        <w:rPr>
          <w:rFonts w:ascii="Times New Roman" w:cs="Times New Roman" w:eastAsia="Times New Roman" w:hAnsi="Times New Roman"/>
          <w:sz w:val="14"/>
          <w:szCs w:val="14"/>
          <w:color w:val="auto"/>
        </w:rPr>
        <w:t>​</w:t>
      </w:r>
    </w:p>
    <w:p>
      <w:pPr>
        <w:sectPr>
          <w:pgSz w:w="11900" w:h="16838" w:orient="portrait"/>
          <w:cols w:equalWidth="0" w:num="2">
            <w:col w:w="7240" w:space="140"/>
            <w:col w:w="1639"/>
          </w:cols>
          <w:pgMar w:left="1440" w:top="104" w:right="1440" w:bottom="1440" w:gutter="0" w:footer="0" w:header="0"/>
          <w:type w:val="continuous"/>
        </w:sectPr>
      </w:pPr>
    </w:p>
    <w:bookmarkStart w:id="5" w:name="page6"/>
    <w:bookmarkEnd w:id="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2"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This prospectus is part of a registration statement that Baird Medical Investment Holdings Limited filed with the SEC, utilizing a “shelf” registration process. By using a shelf registration statement, we may, from time to time, sell the securities described in this prospectus in one or more offerings. This prospectus includes important information about us, the securities being offered and other information you should know before investing. Any prospectus supplement that we file in connection with any specific offering by us may also add, update, or change information in this prospectus or any prospectus supplement. If there is any inconsistency between the information contained in this prospectus and any prospectus supplement, you should rely on the information contained in that particular prospectus supplement. You should read this prospectus, any applicable prospectus supplement, together with the additional information about us described in the section below entitled “Where You Can Find More Information About Us” and “Information Incorporated by Reference.” You should rely only on information contained in this prospectus and any applicable prospectus supplement. We have not authorized anyone to provide you with information different from that contained in this prospectus or any prospectus supplement. The information contained in this prospectus is accurate only as of the date on the front cover of the prospectus. You should not assume that the information contained in this prospectus is accurate as of any other date.</w:t>
      </w:r>
    </w:p>
    <w:p>
      <w:pPr>
        <w:spacing w:after="0" w:line="100"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A prospectus supplement, if required, may describe the terms of the plan of distribution and set forth the names of any agents, underwriters or dealers involved in the sale of securities.</w:t>
      </w:r>
    </w:p>
    <w:p>
      <w:pPr>
        <w:spacing w:after="0" w:line="8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In this prospectus, unless otherwise indicated or unless the context otherwise requires,</w:t>
      </w:r>
    </w:p>
    <w:p>
      <w:pPr>
        <w:spacing w:after="0" w:line="87" w:lineRule="exact"/>
        <w:rPr>
          <w:sz w:val="20"/>
          <w:szCs w:val="20"/>
          <w:color w:val="auto"/>
        </w:rPr>
      </w:pPr>
    </w:p>
    <w:p>
      <w:pPr>
        <w:jc w:val="both"/>
        <w:ind w:left="1780" w:right="1379" w:hanging="144"/>
        <w:spacing w:after="0" w:line="259" w:lineRule="auto"/>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and “PRC” refers to the People’s Republic of China, excluding, for the purposes of this prospectus only, Taiwan, the Hong Kong Special Administrative Region and the Macau Special Administrative Region;</w:t>
      </w:r>
    </w:p>
    <w:p>
      <w:pPr>
        <w:spacing w:after="0" w:line="5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 and “Renminbi” refers to the legal currency of China;</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and “Ordinary Shares” refers to our ordinary shares, par value US$0.0001 per share;</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“U.S. dollars” refers to the legal currency of the United States of America; and</w:t>
      </w:r>
    </w:p>
    <w:p>
      <w:pPr>
        <w:spacing w:after="0" w:line="8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“our company,” “our,” “Baird Medical” and “our group” refers to Baird Medical Investment Holdings Limited, our Cayman Islands holding company, its predecessor entity and its subsidiaries,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132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22115" cy="613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18" w:lineRule="exact"/>
        <w:rPr>
          <w:sz w:val="20"/>
          <w:szCs w:val="20"/>
          <w:color w:val="auto"/>
        </w:rPr>
      </w:pPr>
    </w:p>
    <w:p>
      <w:pPr>
        <w:jc w:val="both"/>
        <w:ind w:left="1380" w:right="1359" w:firstLine="276"/>
        <w:spacing w:after="0" w:line="24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in this prospectus. This summary does not contain all of the information you should consider before investing in our securities. You should read this entire prospectus carefully, including the sections titled “Risk Factors,” our consolidated financial statements and the related notes, and other information incorporated by reference in this prospectus from our other filings with the SEC, before making an investment decision.</w:t>
      </w:r>
    </w:p>
    <w:p>
      <w:pPr>
        <w:spacing w:after="0" w:line="1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12" w:lineRule="exact"/>
        <w:rPr>
          <w:sz w:val="20"/>
          <w:szCs w:val="20"/>
          <w:color w:val="auto"/>
        </w:rPr>
      </w:pPr>
    </w:p>
    <w:p>
      <w:pPr>
        <w:jc w:val="both"/>
        <w:ind w:left="1380" w:right="1359" w:firstLine="276"/>
        <w:spacing w:after="0" w:line="245" w:lineRule="auto"/>
        <w:rPr>
          <w:sz w:val="20"/>
          <w:szCs w:val="20"/>
          <w:color w:val="auto"/>
        </w:rPr>
      </w:pPr>
      <w:r>
        <w:rPr>
          <w:rFonts w:ascii="Times New Roman" w:cs="Times New Roman" w:eastAsia="Times New Roman" w:hAnsi="Times New Roman"/>
          <w:sz w:val="14"/>
          <w:szCs w:val="14"/>
          <w:color w:val="auto"/>
        </w:rPr>
        <w:t>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w:t>
      </w:r>
    </w:p>
    <w:p>
      <w:pPr>
        <w:spacing w:after="0" w:line="88" w:lineRule="exact"/>
        <w:rPr>
          <w:sz w:val="20"/>
          <w:szCs w:val="20"/>
          <w:color w:val="auto"/>
        </w:rPr>
      </w:pPr>
    </w:p>
    <w:p>
      <w:pPr>
        <w:jc w:val="both"/>
        <w:ind w:left="1380" w:right="1359" w:firstLine="276"/>
        <w:spacing w:after="0" w:line="245" w:lineRule="auto"/>
        <w:rPr>
          <w:sz w:val="20"/>
          <w:szCs w:val="20"/>
          <w:color w:val="auto"/>
        </w:rPr>
      </w:pPr>
      <w:r>
        <w:rPr>
          <w:rFonts w:ascii="Times New Roman" w:cs="Times New Roman" w:eastAsia="Times New Roman" w:hAnsi="Times New Roman"/>
          <w:sz w:val="14"/>
          <w:szCs w:val="14"/>
          <w:color w:val="auto"/>
        </w:rPr>
        <w:t>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w:t>
      </w:r>
    </w:p>
    <w:p>
      <w:pPr>
        <w:spacing w:after="0" w:line="87" w:lineRule="exact"/>
        <w:rPr>
          <w:sz w:val="20"/>
          <w:szCs w:val="20"/>
          <w:color w:val="auto"/>
        </w:rPr>
      </w:pPr>
    </w:p>
    <w:p>
      <w:pPr>
        <w:jc w:val="both"/>
        <w:ind w:left="1380" w:right="1359" w:firstLine="276"/>
        <w:spacing w:after="0" w:line="245" w:lineRule="auto"/>
        <w:rPr>
          <w:sz w:val="20"/>
          <w:szCs w:val="20"/>
          <w:color w:val="auto"/>
        </w:rPr>
      </w:pPr>
      <w:r>
        <w:rPr>
          <w:rFonts w:ascii="Times New Roman" w:cs="Times New Roman" w:eastAsia="Times New Roman" w:hAnsi="Times New Roman"/>
          <w:sz w:val="14"/>
          <w:szCs w:val="14"/>
          <w:color w:val="auto"/>
        </w:rPr>
        <w:t>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w:t>
      </w:r>
    </w:p>
    <w:p>
      <w:pPr>
        <w:spacing w:after="0" w:line="87" w:lineRule="exact"/>
        <w:rPr>
          <w:sz w:val="20"/>
          <w:szCs w:val="20"/>
          <w:color w:val="auto"/>
        </w:rPr>
      </w:pPr>
    </w:p>
    <w:p>
      <w:pPr>
        <w:jc w:val="both"/>
        <w:ind w:left="1380" w:right="1359" w:firstLine="276"/>
        <w:spacing w:after="0" w:line="238" w:lineRule="auto"/>
        <w:rPr>
          <w:sz w:val="20"/>
          <w:szCs w:val="20"/>
          <w:color w:val="auto"/>
        </w:rPr>
      </w:pPr>
      <w:r>
        <w:rPr>
          <w:rFonts w:ascii="Times New Roman" w:cs="Times New Roman" w:eastAsia="Times New Roman" w:hAnsi="Times New Roman"/>
          <w:sz w:val="14"/>
          <w:szCs w:val="14"/>
          <w:color w:val="auto"/>
        </w:rPr>
        <w:t>Microwave ablation is a minimally invasive treatment technique that denaturalizes and coagulates the protein of tumor cells with extreme heat generated by microwave energy. Microwave ablation treatments have been applied to benign and malignant tumors, and we believe they are safer, less invasive and easier to operate with faster recovery periods and lower complication rates for patients, as compared to traditional treatment methods such as surgery, radiotherapy, interventional radiology, chemotherapy, targeted therapy and immunotherapy. We are not aware of any research suggesting that such traditional treatments can also prevent cancer progression by curbing benign tumors from developing into malignant tumors. The type of tumor treatment depends on the patient’s individual circumstances, including the size and characteristics of the tumor, the desired outcome, and the acceptable cost. Some types of benign tumors have the potential of transforming into malignant ones through a process known as “cancer progression.” Microwave ablation treatments can help to prevent cancer progression by curbing a benign tumor from developing into a malignant tumor, and management believes that patients diagnosed with benign tumors are inclined to seek tumor removal to avoid the risks of cancer progression.</w:t>
      </w:r>
    </w:p>
    <w:p>
      <w:pPr>
        <w:spacing w:after="0" w:line="96" w:lineRule="exact"/>
        <w:rPr>
          <w:sz w:val="20"/>
          <w:szCs w:val="20"/>
          <w:color w:val="auto"/>
        </w:rPr>
      </w:pPr>
    </w:p>
    <w:p>
      <w:pPr>
        <w:jc w:val="both"/>
        <w:ind w:left="1380" w:right="1359" w:firstLine="276"/>
        <w:spacing w:after="0" w:line="239" w:lineRule="auto"/>
        <w:rPr>
          <w:sz w:val="20"/>
          <w:szCs w:val="20"/>
          <w:color w:val="auto"/>
        </w:rPr>
      </w:pPr>
      <w:r>
        <w:rPr>
          <w:rFonts w:ascii="Times New Roman" w:cs="Times New Roman" w:eastAsia="Times New Roman" w:hAnsi="Times New Roman"/>
          <w:sz w:val="14"/>
          <w:szCs w:val="14"/>
          <w:color w:val="auto"/>
        </w:rPr>
        <w:t>Our product offerings and pipeline products mainly consist of microwave ablation apparatus and needles. Our product offerings available for sale include microwave ablation apparatus approved for the treatment of live cancer and thyroid nodule, long microwave ablation needles, and fine microwave ablation needles. Currently, we hold two registration certificates for Class III medical devices specifically approved for the treatment of liver cancer and thyroid nodules, and one registration certificate for Class II medical devices in the PRC. Under PRC laws and regulations, Class II medical devices are those with moderate risks and are strictly controlled and administered, and Class III medical devices are those with relatively high risks and are strictly controlled and administered through special measures.</w:t>
      </w:r>
    </w:p>
    <w:p>
      <w:pPr>
        <w:spacing w:after="0" w:line="93" w:lineRule="exact"/>
        <w:rPr>
          <w:sz w:val="20"/>
          <w:szCs w:val="20"/>
          <w:color w:val="auto"/>
        </w:rPr>
      </w:pPr>
    </w:p>
    <w:p>
      <w:pPr>
        <w:jc w:val="both"/>
        <w:ind w:left="1380" w:right="1359" w:firstLine="276"/>
        <w:spacing w:after="0" w:line="241" w:lineRule="auto"/>
        <w:rPr>
          <w:sz w:val="20"/>
          <w:szCs w:val="20"/>
          <w:color w:val="auto"/>
        </w:rPr>
      </w:pPr>
      <w:r>
        <w:rPr>
          <w:rFonts w:ascii="Times New Roman" w:cs="Times New Roman" w:eastAsia="Times New Roman" w:hAnsi="Times New Roman"/>
          <w:sz w:val="14"/>
          <w:szCs w:val="14"/>
          <w:color w:val="auto"/>
        </w:rPr>
        <w:t>Through our research and development team, led by our co -chief technical officers,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w:t>
      </w:r>
    </w:p>
    <w:p>
      <w:pPr>
        <w:spacing w:after="0" w:line="253" w:lineRule="exact"/>
        <w:rPr>
          <w:sz w:val="20"/>
          <w:szCs w:val="20"/>
          <w:color w:val="auto"/>
        </w:rPr>
      </w:pPr>
    </w:p>
    <w:p>
      <w:pPr>
        <w:jc w:val="both"/>
        <w:ind w:left="1380" w:right="1359" w:firstLine="276"/>
        <w:spacing w:after="0" w:line="241" w:lineRule="auto"/>
        <w:rPr>
          <w:sz w:val="20"/>
          <w:szCs w:val="20"/>
          <w:color w:val="auto"/>
        </w:rPr>
      </w:pPr>
      <w:r>
        <w:rPr>
          <w:rFonts w:ascii="Times New Roman" w:cs="Times New Roman" w:eastAsia="Times New Roman" w:hAnsi="Times New Roman"/>
          <w:sz w:val="14"/>
          <w:szCs w:val="14"/>
          <w:color w:val="auto"/>
        </w:rPr>
        <w:t>Our products are ultimately sold to hospitals through direct sales, deliverers, or distributors. Benefiting from our distributors’ established channels and resources, we have been able to cut costs and time in reaching target markets compared to the costs and time required to distribute those products through direct sales. With a network of qualified deliverers, we have been able to sell products to a large group of hospitals. With our</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194945</wp:posOffset>
            </wp:positionV>
            <wp:extent cx="52330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36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22115" cy="636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80" w:right="1359"/>
        <w:spacing w:after="0" w:line="253" w:lineRule="auto"/>
        <w:rPr>
          <w:sz w:val="20"/>
          <w:szCs w:val="20"/>
          <w:color w:val="auto"/>
        </w:rPr>
      </w:pPr>
      <w:r>
        <w:rPr>
          <w:rFonts w:ascii="Times New Roman" w:cs="Times New Roman" w:eastAsia="Times New Roman" w:hAnsi="Times New Roman"/>
          <w:sz w:val="14"/>
          <w:szCs w:val="14"/>
          <w:color w:val="auto"/>
        </w:rPr>
        <w:t>solid and strategically managed network of deliverers and distributors and close collaboration with medical associations and doctors through our sales and marketing efforts, we have seen the number of hospitals in China purchasing our products increase from approximately 430 in 2022 to approximately 614 in 2025, with the number of Grade III hospitals (the highest tier hospitals in China) increasing from approximately 250 in 2022 to approximately 329 in 2025, respectively.</w:t>
      </w:r>
    </w:p>
    <w:p>
      <w:pPr>
        <w:spacing w:after="0" w:line="93" w:lineRule="exact"/>
        <w:rPr>
          <w:sz w:val="20"/>
          <w:szCs w:val="20"/>
          <w:color w:val="auto"/>
        </w:rPr>
      </w:pPr>
    </w:p>
    <w:p>
      <w:pPr>
        <w:jc w:val="both"/>
        <w:ind w:left="1380" w:right="1359" w:firstLine="276"/>
        <w:spacing w:after="0" w:line="259" w:lineRule="auto"/>
        <w:rPr>
          <w:sz w:val="20"/>
          <w:szCs w:val="20"/>
          <w:color w:val="auto"/>
        </w:rPr>
      </w:pPr>
      <w:r>
        <w:rPr>
          <w:rFonts w:ascii="Times New Roman" w:cs="Times New Roman" w:eastAsia="Times New Roman" w:hAnsi="Times New Roman"/>
          <w:sz w:val="14"/>
          <w:szCs w:val="14"/>
          <w:color w:val="auto"/>
        </w:rPr>
        <w:t>We had revenue of US$31.5 million, US$37.0 million and US$22.5 million in 2023, 2024 and 2025, respectively. We had net income of US$10.7 million and US$12.6 million and net loss of US$27.5 million in 2023, 2024 and 2025, respectively.</w:t>
      </w:r>
    </w:p>
    <w:p>
      <w:pPr>
        <w:spacing w:after="0" w:line="89" w:lineRule="exact"/>
        <w:rPr>
          <w:sz w:val="20"/>
          <w:szCs w:val="20"/>
          <w:color w:val="auto"/>
        </w:rPr>
      </w:pPr>
    </w:p>
    <w:p>
      <w:pPr>
        <w:jc w:val="both"/>
        <w:ind w:left="1380" w:right="1359" w:firstLine="276"/>
        <w:spacing w:after="0" w:line="255" w:lineRule="auto"/>
        <w:rPr>
          <w:sz w:val="20"/>
          <w:szCs w:val="20"/>
          <w:color w:val="auto"/>
        </w:rPr>
      </w:pPr>
      <w:r>
        <w:rPr>
          <w:rFonts w:ascii="Times New Roman" w:cs="Times New Roman" w:eastAsia="Times New Roman" w:hAnsi="Times New Roman"/>
          <w:sz w:val="14"/>
          <w:szCs w:val="14"/>
          <w:color w:val="auto"/>
        </w:rPr>
        <w:t>Our principal executive office is Room 202, 2/F, Baide Building, Building 11, No. 15, Rongtong Street, Yuexiu District, Guangzhou, People’s Republic of China and its telephone number is +86 20 8218-5926. Our website address is bairdmed.com. The information contained on the website does not form a part of, and is not incorporated by reference into, this prospectus.</w:t>
      </w:r>
    </w:p>
    <w:p>
      <w:pPr>
        <w:spacing w:after="0" w:line="81" w:lineRule="exact"/>
        <w:rPr>
          <w:sz w:val="20"/>
          <w:szCs w:val="20"/>
          <w:color w:val="auto"/>
        </w:rPr>
      </w:pPr>
    </w:p>
    <w:p>
      <w:pPr>
        <w:jc w:val="both"/>
        <w:ind w:left="1380" w:right="1359" w:firstLine="276"/>
        <w:spacing w:after="0" w:line="273" w:lineRule="auto"/>
        <w:rPr>
          <w:sz w:val="20"/>
          <w:szCs w:val="20"/>
          <w:color w:val="auto"/>
        </w:rPr>
      </w:pPr>
      <w:r>
        <w:rPr>
          <w:rFonts w:ascii="Times New Roman" w:cs="Times New Roman" w:eastAsia="Times New Roman" w:hAnsi="Times New Roman"/>
          <w:sz w:val="14"/>
          <w:szCs w:val="14"/>
          <w:color w:val="auto"/>
        </w:rPr>
        <w:t>The following diagram depicts a simplified organizational structure of our company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Implication of Being a Company with the Holding Company Structure</w:t>
      </w:r>
    </w:p>
    <w:p>
      <w:pPr>
        <w:spacing w:after="0" w:line="122" w:lineRule="exact"/>
        <w:rPr>
          <w:sz w:val="20"/>
          <w:szCs w:val="20"/>
          <w:color w:val="auto"/>
        </w:rPr>
      </w:pPr>
    </w:p>
    <w:p>
      <w:pPr>
        <w:jc w:val="both"/>
        <w:ind w:left="1380" w:right="1359" w:firstLine="276"/>
        <w:spacing w:after="0" w:line="251" w:lineRule="auto"/>
        <w:rPr>
          <w:sz w:val="20"/>
          <w:szCs w:val="20"/>
          <w:color w:val="auto"/>
        </w:rPr>
      </w:pPr>
      <w:r>
        <w:rPr>
          <w:rFonts w:ascii="Times New Roman" w:cs="Times New Roman" w:eastAsia="Times New Roman" w:hAnsi="Times New Roman"/>
          <w:sz w:val="14"/>
          <w:szCs w:val="14"/>
          <w:color w:val="auto"/>
        </w:rPr>
        <w:t>Baird Medical is a Cayman Islands holding company with no material operations of its own. We conduct our operations primarily through our wholly-owned PRC subsidiaries in China. As a result, Baird Medical’s ability to pay dividends to the shareholders and to service any debt we may incur may highly depend upon dividends paid by our PRC subsidiaries, despite that we may obtain financing at the holding company level through other methods. For instance, if any of our PRC subsidiaries incurs debt on its own behalf in the future, the instruments governing such debt may restrict its ability to pay dividends to us and the investors.</w:t>
      </w:r>
    </w:p>
    <w:p>
      <w:pPr>
        <w:spacing w:after="0" w:line="262" w:lineRule="exact"/>
        <w:rPr>
          <w:sz w:val="20"/>
          <w:szCs w:val="20"/>
          <w:color w:val="auto"/>
        </w:rPr>
      </w:pPr>
    </w:p>
    <w:p>
      <w:pPr>
        <w:jc w:val="both"/>
        <w:ind w:left="1380" w:right="1359" w:firstLine="276"/>
        <w:spacing w:after="0" w:line="249" w:lineRule="auto"/>
        <w:rPr>
          <w:sz w:val="20"/>
          <w:szCs w:val="20"/>
          <w:color w:val="auto"/>
        </w:rPr>
      </w:pPr>
      <w:r>
        <w:rPr>
          <w:rFonts w:ascii="Times New Roman" w:cs="Times New Roman" w:eastAsia="Times New Roman" w:hAnsi="Times New Roman"/>
          <w:sz w:val="14"/>
          <w:szCs w:val="14"/>
          <w:color w:val="auto"/>
        </w:rPr>
        <w:t>Under PRC laws and regulations, our PRC subsidiaries are permitted to pay dividends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companies. Remittance of dividends by our PRC subsidiaries out of China is also subject to certain procedures with the banks designated by the PRC State Administration of Foreign Exchange (“SAFE”).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146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22115" cy="614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80" w:right="1359"/>
        <w:spacing w:after="0" w:line="239" w:lineRule="auto"/>
        <w:rPr>
          <w:sz w:val="20"/>
          <w:szCs w:val="20"/>
          <w:color w:val="auto"/>
        </w:rPr>
      </w:pPr>
      <w:r>
        <w:rPr>
          <w:rFonts w:ascii="Times New Roman" w:cs="Times New Roman" w:eastAsia="Times New Roman" w:hAnsi="Times New Roman"/>
          <w:sz w:val="14"/>
          <w:szCs w:val="14"/>
          <w:color w:val="auto"/>
        </w:rPr>
        <w:t>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Cash and asset flows through our organization</w:t>
      </w:r>
    </w:p>
    <w:p>
      <w:pPr>
        <w:spacing w:after="0" w:line="122" w:lineRule="exact"/>
        <w:rPr>
          <w:sz w:val="20"/>
          <w:szCs w:val="20"/>
          <w:color w:val="auto"/>
        </w:rPr>
      </w:pPr>
    </w:p>
    <w:p>
      <w:pPr>
        <w:jc w:val="both"/>
        <w:ind w:left="1380" w:right="1359" w:firstLine="276"/>
        <w:spacing w:after="0" w:line="238" w:lineRule="auto"/>
        <w:rPr>
          <w:sz w:val="20"/>
          <w:szCs w:val="20"/>
          <w:color w:val="auto"/>
        </w:rPr>
      </w:pPr>
      <w:r>
        <w:rPr>
          <w:rFonts w:ascii="Times New Roman" w:cs="Times New Roman" w:eastAsia="Times New Roman" w:hAnsi="Times New Roman"/>
          <w:sz w:val="14"/>
          <w:szCs w:val="14"/>
          <w:color w:val="auto"/>
        </w:rPr>
        <w:t>Under PRC laws and regulations, we, the Cayman Islands holding company, may fund our PRC subsidiaries only through capital contributions or loans, subject to satisfaction of applicable government registration and approval requirements.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Dividend distribution and taxation</w:t>
      </w:r>
    </w:p>
    <w:p>
      <w:pPr>
        <w:spacing w:after="0" w:line="122" w:lineRule="exact"/>
        <w:rPr>
          <w:sz w:val="20"/>
          <w:szCs w:val="20"/>
          <w:color w:val="auto"/>
        </w:rPr>
      </w:pPr>
    </w:p>
    <w:p>
      <w:pPr>
        <w:jc w:val="both"/>
        <w:ind w:left="1380" w:right="1359" w:firstLine="276"/>
        <w:spacing w:after="0" w:line="241" w:lineRule="auto"/>
        <w:rPr>
          <w:sz w:val="20"/>
          <w:szCs w:val="20"/>
          <w:color w:val="auto"/>
        </w:rPr>
      </w:pPr>
      <w:r>
        <w:rPr>
          <w:rFonts w:ascii="Times New Roman" w:cs="Times New Roman" w:eastAsia="Times New Roman" w:hAnsi="Times New Roman"/>
          <w:sz w:val="14"/>
          <w:szCs w:val="14"/>
          <w:color w:val="auto"/>
        </w:rPr>
        <w:t>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currently intend to retain most, if not all, of our available funds and any future earnings to operate and expand our business.</w:t>
      </w:r>
    </w:p>
    <w:p>
      <w:pPr>
        <w:spacing w:after="0" w:line="91" w:lineRule="exact"/>
        <w:rPr>
          <w:sz w:val="20"/>
          <w:szCs w:val="20"/>
          <w:color w:val="auto"/>
        </w:rPr>
      </w:pPr>
    </w:p>
    <w:p>
      <w:pPr>
        <w:jc w:val="both"/>
        <w:ind w:left="1380" w:right="1359" w:firstLine="276"/>
        <w:spacing w:after="0" w:line="251" w:lineRule="auto"/>
        <w:rPr>
          <w:sz w:val="20"/>
          <w:szCs w:val="20"/>
          <w:color w:val="auto"/>
        </w:rPr>
      </w:pPr>
      <w:r>
        <w:rPr>
          <w:rFonts w:ascii="Times New Roman" w:cs="Times New Roman" w:eastAsia="Times New Roman" w:hAnsi="Times New Roman"/>
          <w:sz w:val="14"/>
          <w:szCs w:val="14"/>
          <w:color w:val="auto"/>
        </w:rPr>
        <w:t>Subject to the “passive foreign investment company” rules, the gross amount of any distribution that we make to a U.S. holder with respect to the Ordinary Shares (including any amounts withheld to reflect PRC withholding taxes)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we pay to our overseas shareholders may be regarded as China-sourced income and as a result may be subject to PRC withholding tax.</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The Holding Foreign Companies Accountable Act</w:t>
      </w:r>
    </w:p>
    <w:p>
      <w:pPr>
        <w:spacing w:after="0" w:line="122" w:lineRule="exact"/>
        <w:rPr>
          <w:sz w:val="20"/>
          <w:szCs w:val="20"/>
          <w:color w:val="auto"/>
        </w:rPr>
      </w:pPr>
    </w:p>
    <w:p>
      <w:pPr>
        <w:jc w:val="both"/>
        <w:ind w:left="1380" w:right="1359" w:firstLine="276"/>
        <w:spacing w:after="0" w:line="249" w:lineRule="auto"/>
        <w:rPr>
          <w:sz w:val="20"/>
          <w:szCs w:val="20"/>
          <w:color w:val="auto"/>
        </w:rPr>
      </w:pPr>
      <w:r>
        <w:rPr>
          <w:rFonts w:ascii="Times New Roman" w:cs="Times New Roman" w:eastAsia="Times New Roman" w:hAnsi="Times New Roman"/>
          <w:sz w:val="14"/>
          <w:szCs w:val="14"/>
          <w:color w:val="auto"/>
        </w:rPr>
        <w:t>The HFCAA was enacted on December 18, 2020.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350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22115" cy="635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80" w:right="1359"/>
        <w:spacing w:after="0" w:line="256" w:lineRule="auto"/>
        <w:rPr>
          <w:sz w:val="20"/>
          <w:szCs w:val="20"/>
          <w:color w:val="auto"/>
        </w:rPr>
      </w:pPr>
      <w:r>
        <w:rPr>
          <w:rFonts w:ascii="Times New Roman" w:cs="Times New Roman" w:eastAsia="Times New Roman" w:hAnsi="Times New Roman"/>
          <w:sz w:val="14"/>
          <w:szCs w:val="14"/>
          <w:color w:val="auto"/>
        </w:rPr>
        <w:t>2022. The PCAOB Board vacated its previous 2021 determinations that the PCAOB was unable to inspect or investigate completely registered public accounting firms headquartered in mainland China and Hong Kong.</w:t>
      </w:r>
    </w:p>
    <w:p>
      <w:pPr>
        <w:spacing w:after="0" w:line="246" w:lineRule="exact"/>
        <w:rPr>
          <w:sz w:val="20"/>
          <w:szCs w:val="20"/>
          <w:color w:val="auto"/>
        </w:rPr>
      </w:pPr>
    </w:p>
    <w:p>
      <w:pPr>
        <w:jc w:val="both"/>
        <w:ind w:left="1380" w:right="1359" w:firstLine="276"/>
        <w:spacing w:after="0"/>
        <w:rPr>
          <w:sz w:val="20"/>
          <w:szCs w:val="20"/>
          <w:color w:val="auto"/>
        </w:rPr>
      </w:pPr>
      <w:r>
        <w:rPr>
          <w:rFonts w:ascii="Times New Roman" w:cs="Times New Roman" w:eastAsia="Times New Roman" w:hAnsi="Times New Roman"/>
          <w:sz w:val="14"/>
          <w:szCs w:val="14"/>
          <w:color w:val="auto"/>
        </w:rPr>
        <w:t>We have engaged a series of independent registered public accounting firms. We dismissed Marcum Asia and appointed Kreit &amp; Chiu as our independent registered public accounting firm, effective from January 24, 2025. We subsequently dismissed Kreit &amp; Chiu and appointed Guangdong Prouden as our independent registered public accounting firm. Marcum Asia, our former auditor, is an independent public accounting firm registered with the PCAOB. Marcum Asia is headquartered in the United States and is currently subject to PCAOB inspections on a regular basis and was not identified in the determination report made by the PCAOB in 2021. Kreit &amp; Chiu, another former auditor, is an independent public accounting firm registered with the PCAOB, headquartered in New York, and was not identified in the determination report made by the PCAOB on December 16, 2021. Our current auditor, Guangdong Prouden, is an independent registered public accounting firm registered with the PCAOB and is subject to PCAOB inspections on a regular basis. Guangdong Prouden was not identified in the PCAOB’s 2021 determination report.</w:t>
      </w:r>
    </w:p>
    <w:p>
      <w:pPr>
        <w:spacing w:after="0" w:line="246" w:lineRule="exact"/>
        <w:rPr>
          <w:sz w:val="20"/>
          <w:szCs w:val="20"/>
          <w:color w:val="auto"/>
        </w:rPr>
      </w:pPr>
    </w:p>
    <w:p>
      <w:pPr>
        <w:jc w:val="both"/>
        <w:ind w:left="1380" w:right="1359" w:firstLine="276"/>
        <w:spacing w:after="0"/>
        <w:rPr>
          <w:sz w:val="20"/>
          <w:szCs w:val="20"/>
          <w:color w:val="auto"/>
        </w:rPr>
      </w:pPr>
      <w:r>
        <w:rPr>
          <w:rFonts w:ascii="Times New Roman" w:cs="Times New Roman" w:eastAsia="Times New Roman" w:hAnsi="Times New Roman"/>
          <w:sz w:val="14"/>
          <w:szCs w:val="14"/>
          <w:color w:val="auto"/>
        </w:rPr>
        <w:t>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2024 and beyond, or if we otherwise fail to meet the PCAOB’s requirements, the Ordinary Shares will be delisted from the Nasdaq Stock Market, and Ordinary Shares will not be permitted for trading over the counter in the United States under the HFCAA and related regulations.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 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w:t>
      </w:r>
    </w:p>
    <w:p>
      <w:pPr>
        <w:spacing w:after="0" w:line="2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7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CSRC Filing</w:t>
      </w:r>
    </w:p>
    <w:p>
      <w:pPr>
        <w:spacing w:after="0" w:line="122" w:lineRule="exact"/>
        <w:rPr>
          <w:sz w:val="20"/>
          <w:szCs w:val="20"/>
          <w:color w:val="auto"/>
        </w:rPr>
      </w:pPr>
    </w:p>
    <w:p>
      <w:pPr>
        <w:jc w:val="both"/>
        <w:ind w:left="1380" w:right="1359" w:firstLine="276"/>
        <w:spacing w:after="0" w:line="253" w:lineRule="auto"/>
        <w:rPr>
          <w:sz w:val="20"/>
          <w:szCs w:val="20"/>
          <w:color w:val="auto"/>
        </w:rPr>
      </w:pPr>
      <w:r>
        <w:rPr>
          <w:rFonts w:ascii="Times New Roman" w:cs="Times New Roman" w:eastAsia="Times New Roman" w:hAnsi="Times New Roman"/>
          <w:sz w:val="14"/>
          <w:szCs w:val="14"/>
          <w:color w:val="auto"/>
        </w:rPr>
        <w:t>On February 17, 2023, the CSRC promulgated the Overseas Listing Trial Measures and circulated five supporting guidelines, which became effective on March 31, 2023. The Overseas Listing Trial Measures have comprehensively reformed the prior regulatory regime for overseas offering and listing of PRC domestic companies’ securities and regulate both direct and indirect overseas offering and listing of PRC domestic companies’ securities by adopting a filing-based regulatory regime.</w:t>
      </w:r>
    </w:p>
    <w:p>
      <w:pPr>
        <w:spacing w:after="0" w:line="93" w:lineRule="exact"/>
        <w:rPr>
          <w:sz w:val="20"/>
          <w:szCs w:val="20"/>
          <w:color w:val="auto"/>
        </w:rPr>
      </w:pPr>
    </w:p>
    <w:p>
      <w:pPr>
        <w:jc w:val="both"/>
        <w:ind w:left="1380" w:right="1359" w:firstLine="276"/>
        <w:spacing w:after="0" w:line="250" w:lineRule="auto"/>
        <w:rPr>
          <w:sz w:val="20"/>
          <w:szCs w:val="20"/>
          <w:color w:val="auto"/>
        </w:rPr>
      </w:pPr>
      <w:r>
        <w:rPr>
          <w:rFonts w:ascii="Times New Roman" w:cs="Times New Roman" w:eastAsia="Times New Roman" w:hAnsi="Times New Roman"/>
          <w:sz w:val="14"/>
          <w:szCs w:val="14"/>
          <w:color w:val="auto"/>
        </w:rPr>
        <w:t>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(1) such securities offering and listing is explicitly prohibited by provisions in laws, administrative regulations and relevant state rules;</w:t>
      </w:r>
    </w:p>
    <w:p>
      <w:pPr>
        <w:spacing w:after="0" w:line="2" w:lineRule="exact"/>
        <w:rPr>
          <w:sz w:val="20"/>
          <w:szCs w:val="20"/>
          <w:color w:val="auto"/>
        </w:rPr>
      </w:pPr>
    </w:p>
    <w:p>
      <w:pPr>
        <w:jc w:val="both"/>
        <w:ind w:left="1380" w:right="1359" w:hanging="6"/>
        <w:spacing w:after="0" w:line="247" w:lineRule="auto"/>
        <w:tabs>
          <w:tab w:leader="none" w:pos="15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intended securities offering and listing may endanger national security as reviewed and determined by competent authorities under the State Council in accordance with law; (3)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(4) the domestic company intending to make the securities offering and listing is currently under investigations for suspicion of criminal offenses or major violations of laws and regulations, and no conclusion has yet been made thereof; or (5) there are material ownership disputes over equity held by the domestic company’s controlling shareholder(s) or by other shareholder(s) that are controlled by the controlling shareholder(s) and/or actual controller.</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100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22115" cy="610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80" w:right="1359" w:firstLine="276"/>
        <w:spacing w:after="0" w:line="238" w:lineRule="auto"/>
        <w:rPr>
          <w:sz w:val="20"/>
          <w:szCs w:val="20"/>
          <w:color w:val="auto"/>
        </w:rPr>
      </w:pPr>
      <w:r>
        <w:rPr>
          <w:rFonts w:ascii="Times New Roman" w:cs="Times New Roman" w:eastAsia="Times New Roman" w:hAnsi="Times New Roman"/>
          <w:sz w:val="14"/>
          <w:szCs w:val="14"/>
          <w:color w:val="auto"/>
        </w:rPr>
        <w:t>The Overseas Listing Trial Measures also provides that if the issuer meets both the following criteria, the overseas securities offering and listing conducted by such issuer will be deemed as indirect overseas offering by PRC domestic companies: (1) 50% or more of any of the issuer’s operating revenue, total profit, total assets or net assets as documented in its audited consolidated financial statements for the most recent fiscal year is accounted for by domestic companies; and (2)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In addition, the Overseas Listing Trial Measures provides that the direct or indirect overseas listings of the assets of domestic companies through one or more acquisitions, share swaps, transfers or other transaction arrangements shall be subject to filing procedures in accordance with the Overseas Listing Trial Measures, which filing shall be submitted within three business days after the issuer submits its application documents relating to the initial public offering and/or listing or after the first public announcement of the relevant transaction (if the submission of relevant application documents is not required). The Overseas Listing Trial Measures also requires subsequent reports to be filed with the CSRC on material events, such as change of control or voluntary or forced delisting of the issuer(s) who have completed overseas offerings and listings.</w:t>
      </w:r>
    </w:p>
    <w:p>
      <w:pPr>
        <w:spacing w:after="0" w:line="94" w:lineRule="exact"/>
        <w:rPr>
          <w:sz w:val="20"/>
          <w:szCs w:val="20"/>
          <w:color w:val="auto"/>
        </w:rPr>
      </w:pPr>
    </w:p>
    <w:p>
      <w:pPr>
        <w:jc w:val="both"/>
        <w:ind w:left="1380" w:right="1359" w:firstLine="276"/>
        <w:spacing w:after="0" w:line="238" w:lineRule="auto"/>
        <w:rPr>
          <w:sz w:val="20"/>
          <w:szCs w:val="20"/>
          <w:color w:val="auto"/>
        </w:rPr>
      </w:pPr>
      <w:r>
        <w:rPr>
          <w:rFonts w:ascii="Times New Roman" w:cs="Times New Roman" w:eastAsia="Times New Roman" w:hAnsi="Times New Roman"/>
          <w:sz w:val="14"/>
          <w:szCs w:val="14"/>
          <w:color w:val="auto"/>
        </w:rPr>
        <w:t>Guidance for Application of Regulatory Rules — Overseas Offering and Listing No. 1, promulgated by CSRC together with the Overseas Listing Trial Measures, provides that if a domestic enterprise completes an overseas offering through an overseas special purposes acquisition company, it shall submit the filing materials within three business days after such overseas special purposes acquisition company publicly announces such acquisition transaction. We completed the filing procedures in connection with the Business Combination under the Overseas Listing Trial Measures on January 2, 2024, and the result of such CSRC approval was posted on the official website of the CSRC on the same date. 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See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w:t>
      </w:r>
    </w:p>
    <w:p>
      <w:pPr>
        <w:spacing w:after="0" w:line="92" w:lineRule="exact"/>
        <w:rPr>
          <w:sz w:val="20"/>
          <w:szCs w:val="20"/>
          <w:color w:val="auto"/>
        </w:rPr>
      </w:pPr>
    </w:p>
    <w:p>
      <w:pPr>
        <w:jc w:val="both"/>
        <w:ind w:left="1380" w:right="1359" w:firstLine="276"/>
        <w:spacing w:after="0" w:line="245" w:lineRule="auto"/>
        <w:rPr>
          <w:sz w:val="20"/>
          <w:szCs w:val="20"/>
          <w:color w:val="auto"/>
        </w:rPr>
      </w:pPr>
      <w:r>
        <w:rPr>
          <w:rFonts w:ascii="Times New Roman" w:cs="Times New Roman" w:eastAsia="Times New Roman" w:hAnsi="Times New Roman"/>
          <w:sz w:val="14"/>
          <w:szCs w:val="14"/>
          <w:color w:val="auto"/>
        </w:rPr>
        <w:t>On February 24, 2023, the CSRC, the Ministry of Finance, the National Administration of State Secrets Protection and the National Archives Administration released the revised Provisions on Strengthening Confidentiality and Archives Administration of Overseas Securities Offering and Listing by Domestic Companies (the “Archives Rules”), which became effective on March 31, 2023. The Archives Rules regulate both overseas direct offerings and overseas indirect offerings, providing that, among other things:</w:t>
      </w:r>
    </w:p>
    <w:p>
      <w:pPr>
        <w:spacing w:after="0" w:line="57" w:lineRule="exact"/>
        <w:rPr>
          <w:sz w:val="20"/>
          <w:szCs w:val="20"/>
          <w:color w:val="auto"/>
        </w:rPr>
      </w:pPr>
    </w:p>
    <w:p>
      <w:pPr>
        <w:jc w:val="both"/>
        <w:ind w:left="1780" w:right="1359" w:hanging="130"/>
        <w:spacing w:after="0" w:line="255"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the overseas listing activities of PRC enterprises, the PRC enterprises are required to strictly comply with the relevant requirements on confidentiality and archives management, establish a sound confidentiality and archives system, and take necessary measures to implement their confidentiality and archives management responsibilities;</w:t>
      </w:r>
    </w:p>
    <w:p>
      <w:pPr>
        <w:spacing w:after="0" w:line="50" w:lineRule="exact"/>
        <w:rPr>
          <w:rFonts w:ascii="Times New Roman" w:cs="Times New Roman" w:eastAsia="Times New Roman" w:hAnsi="Times New Roman"/>
          <w:sz w:val="14"/>
          <w:szCs w:val="14"/>
          <w:color w:val="auto"/>
        </w:rPr>
      </w:pPr>
    </w:p>
    <w:p>
      <w:pPr>
        <w:jc w:val="both"/>
        <w:ind w:left="1780" w:right="1359" w:hanging="130"/>
        <w:spacing w:after="0" w:line="253"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course of an overseas offering and listing, if a PRC enterprise needs to publicly disclose or provide to securities companies or securities service providers and overseas regulators, any materials that contain relevant state secrets, government work secrets or information that has a sensitive impact (i.e., be detrimental to national security or the public interest if divulged), the PRC enterprise should complete the relevant approval/filing and other regulatory procedures; and</w:t>
      </w:r>
    </w:p>
    <w:p>
      <w:pPr>
        <w:spacing w:after="0" w:line="61" w:lineRule="exact"/>
        <w:rPr>
          <w:rFonts w:ascii="Times New Roman" w:cs="Times New Roman" w:eastAsia="Times New Roman" w:hAnsi="Times New Roman"/>
          <w:sz w:val="14"/>
          <w:szCs w:val="14"/>
          <w:color w:val="auto"/>
        </w:rPr>
      </w:pPr>
    </w:p>
    <w:p>
      <w:pPr>
        <w:jc w:val="both"/>
        <w:ind w:left="1780" w:right="1359" w:hanging="130"/>
        <w:spacing w:after="0" w:line="255"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papers produced in the PRC by securities companies and securities service providers, which provide PRC enterprises with securities services during their overseas issuance and listing, should be stored in the PRC, and competent PRC authorities must approve the transmission of all such working papers to recipients outside the PRC.</w:t>
      </w:r>
    </w:p>
    <w:p>
      <w:pPr>
        <w:spacing w:after="0" w:line="91" w:lineRule="exact"/>
        <w:rPr>
          <w:sz w:val="20"/>
          <w:szCs w:val="20"/>
          <w:color w:val="auto"/>
        </w:rPr>
      </w:pPr>
    </w:p>
    <w:p>
      <w:pPr>
        <w:jc w:val="both"/>
        <w:ind w:left="1380" w:right="1359" w:firstLine="276"/>
        <w:spacing w:after="0" w:line="244" w:lineRule="auto"/>
        <w:rPr>
          <w:sz w:val="20"/>
          <w:szCs w:val="20"/>
          <w:color w:val="auto"/>
        </w:rPr>
      </w:pPr>
      <w:r>
        <w:rPr>
          <w:rFonts w:ascii="Times New Roman" w:cs="Times New Roman" w:eastAsia="Times New Roman" w:hAnsi="Times New Roman"/>
          <w:sz w:val="14"/>
          <w:szCs w:val="14"/>
          <w:color w:val="auto"/>
        </w:rPr>
        <w:t>Any failure or perceived failure by us to comply with the Archives Rules and the confidentiality requirements and other PRC laws and regulations may result in us being held legally liable by competent authorities.</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194945</wp:posOffset>
            </wp:positionV>
            <wp:extent cx="52330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297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22115" cy="629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Regulatory Licenses for Our Operations in China</w:t>
      </w:r>
    </w:p>
    <w:p>
      <w:pPr>
        <w:spacing w:after="0" w:line="122" w:lineRule="exact"/>
        <w:rPr>
          <w:sz w:val="20"/>
          <w:szCs w:val="20"/>
          <w:color w:val="auto"/>
        </w:rPr>
      </w:pPr>
    </w:p>
    <w:p>
      <w:pPr>
        <w:jc w:val="both"/>
        <w:ind w:left="1380" w:right="1359" w:firstLine="276"/>
        <w:spacing w:after="0"/>
        <w:rPr>
          <w:sz w:val="20"/>
          <w:szCs w:val="20"/>
          <w:color w:val="auto"/>
        </w:rPr>
      </w:pPr>
      <w:r>
        <w:rPr>
          <w:rFonts w:ascii="Times New Roman" w:cs="Times New Roman" w:eastAsia="Times New Roman" w:hAnsi="Times New Roman"/>
          <w:sz w:val="14"/>
          <w:szCs w:val="14"/>
          <w:color w:val="auto"/>
        </w:rPr>
        <w:t>We have obtained (1) five registration certificates for microwave ablation therapeutic apparatus; (2) a number of registration certificates for microwave ablation needles; and (3) one registration certificate for disposable sterile biopsy needle. On May 25, 2021, we obtained the Manufacture License for Class II and Class III Medical Devices for its existing microwave ablation products in China, which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us on May 25, 2021, which remains applicable and is sufficient for us to satisfy relevant requirements under the 2022 Supervisory and Administrative Measures for Production, (2) during the process of obtaining the registration certificate for Class III thyroid medical devices, we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we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prospectus, we are subject to and in compliance with the 2022 Supervisory and Administrative Measures for Production.</w:t>
      </w:r>
    </w:p>
    <w:p>
      <w:pPr>
        <w:spacing w:after="0" w:line="231" w:lineRule="exact"/>
        <w:rPr>
          <w:sz w:val="20"/>
          <w:szCs w:val="20"/>
          <w:color w:val="auto"/>
        </w:rPr>
      </w:pPr>
    </w:p>
    <w:p>
      <w:pPr>
        <w:jc w:val="both"/>
        <w:ind w:left="1380" w:right="1359" w:firstLine="276"/>
        <w:spacing w:after="0" w:line="257" w:lineRule="auto"/>
        <w:rPr>
          <w:sz w:val="20"/>
          <w:szCs w:val="20"/>
          <w:color w:val="auto"/>
        </w:rPr>
      </w:pPr>
      <w:r>
        <w:rPr>
          <w:rFonts w:ascii="Times New Roman" w:cs="Times New Roman" w:eastAsia="Times New Roman" w:hAnsi="Times New Roman"/>
          <w:sz w:val="14"/>
          <w:szCs w:val="14"/>
          <w:color w:val="auto"/>
        </w:rPr>
        <w:t>See “Item 3. Key Information — D. Risk Factors — Risks Related to Doing Business in China” in our 2025 20-F for details.</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122" w:lineRule="exact"/>
        <w:rPr>
          <w:sz w:val="20"/>
          <w:szCs w:val="20"/>
          <w:color w:val="auto"/>
        </w:rPr>
      </w:pPr>
    </w:p>
    <w:p>
      <w:pPr>
        <w:jc w:val="both"/>
        <w:ind w:left="1380" w:right="1359" w:firstLine="276"/>
        <w:spacing w:after="0" w:line="242" w:lineRule="auto"/>
        <w:rPr>
          <w:sz w:val="20"/>
          <w:szCs w:val="20"/>
          <w:color w:val="auto"/>
        </w:rPr>
      </w:pPr>
      <w:r>
        <w:rPr>
          <w:rFonts w:ascii="Times New Roman" w:cs="Times New Roman" w:eastAsia="Times New Roman" w:hAnsi="Times New Roman"/>
          <w:sz w:val="14"/>
          <w:szCs w:val="14"/>
          <w:color w:val="auto"/>
        </w:rPr>
        <w:t>Our business and our industry are subject to significant risks. You should carefully consider all of the information set forth in this prospectus and in our other filings with the SEC, including the following risk factors, in evaluating our business. If any of the following risks actually occur, our business, financial condition, results of operations, and growth prospects would likely be materially and adversely affected. This prospectus also contains forward-looking statements that involve risks and uncertainties. See the section entitled “Forward-Looking Statements.”</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Industry</w:t>
      </w:r>
    </w:p>
    <w:p>
      <w:pPr>
        <w:spacing w:after="0" w:line="122" w:lineRule="exact"/>
        <w:rPr>
          <w:sz w:val="20"/>
          <w:szCs w:val="20"/>
          <w:color w:val="auto"/>
        </w:rPr>
      </w:pPr>
    </w:p>
    <w:p>
      <w:pPr>
        <w:jc w:val="both"/>
        <w:ind w:left="1380" w:right="1359" w:firstLine="276"/>
        <w:spacing w:after="0" w:line="256" w:lineRule="auto"/>
        <w:rPr>
          <w:sz w:val="20"/>
          <w:szCs w:val="20"/>
          <w:color w:val="auto"/>
        </w:rPr>
      </w:pPr>
      <w:r>
        <w:rPr>
          <w:rFonts w:ascii="Times New Roman" w:cs="Times New Roman" w:eastAsia="Times New Roman" w:hAnsi="Times New Roman"/>
          <w:sz w:val="14"/>
          <w:szCs w:val="14"/>
          <w:color w:val="auto"/>
        </w:rPr>
        <w:t>Risks and uncertainties relating to our business and industry include, but are not limited to, the following:</w:t>
      </w:r>
    </w:p>
    <w:p>
      <w:pPr>
        <w:spacing w:after="0" w:line="232" w:lineRule="exact"/>
        <w:rPr>
          <w:sz w:val="20"/>
          <w:szCs w:val="20"/>
          <w:color w:val="auto"/>
        </w:rPr>
      </w:pPr>
    </w:p>
    <w:p>
      <w:pPr>
        <w:ind w:left="1780" w:right="1359" w:hanging="130"/>
        <w:spacing w:after="0" w:line="273"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 may not be indicative of its future growth and makes it difficult to predict our future prospects, including business and financial performance.</w:t>
      </w:r>
    </w:p>
    <w:p>
      <w:pPr>
        <w:spacing w:after="0" w:line="47" w:lineRule="exact"/>
        <w:rPr>
          <w:rFonts w:ascii="Times New Roman" w:cs="Times New Roman" w:eastAsia="Times New Roman" w:hAnsi="Times New Roman"/>
          <w:sz w:val="14"/>
          <w:szCs w:val="14"/>
          <w:color w:val="auto"/>
        </w:rPr>
      </w:pPr>
    </w:p>
    <w:p>
      <w:pPr>
        <w:ind w:left="1780" w:hanging="130"/>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historical operating results may not be representative of future performance.</w:t>
      </w:r>
    </w:p>
    <w:p>
      <w:pPr>
        <w:spacing w:after="0" w:line="87" w:lineRule="exact"/>
        <w:rPr>
          <w:rFonts w:ascii="Times New Roman" w:cs="Times New Roman" w:eastAsia="Times New Roman" w:hAnsi="Times New Roman"/>
          <w:sz w:val="14"/>
          <w:szCs w:val="14"/>
          <w:color w:val="auto"/>
        </w:rPr>
      </w:pPr>
    </w:p>
    <w:p>
      <w:pPr>
        <w:ind w:left="1780" w:right="1379" w:hanging="130"/>
        <w:spacing w:after="0" w:line="273"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obtain, maintain or renew the regulatory filings and registration certificates needed to commercialize its microwave medical devices in a timely manner, or at all.</w:t>
      </w:r>
    </w:p>
    <w:p>
      <w:pPr>
        <w:spacing w:after="0" w:line="37" w:lineRule="exact"/>
        <w:rPr>
          <w:rFonts w:ascii="Times New Roman" w:cs="Times New Roman" w:eastAsia="Times New Roman" w:hAnsi="Times New Roman"/>
          <w:sz w:val="14"/>
          <w:szCs w:val="14"/>
          <w:color w:val="auto"/>
        </w:rPr>
      </w:pPr>
    </w:p>
    <w:p>
      <w:pPr>
        <w:ind w:left="1780" w:right="1359" w:hanging="130"/>
        <w:spacing w:after="0" w:line="273"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maintain or renew all the permits, licenses and certificates required for our business and operations.</w:t>
      </w:r>
    </w:p>
    <w:p>
      <w:pPr>
        <w:spacing w:after="0" w:line="47" w:lineRule="exact"/>
        <w:rPr>
          <w:rFonts w:ascii="Times New Roman" w:cs="Times New Roman" w:eastAsia="Times New Roman" w:hAnsi="Times New Roman"/>
          <w:sz w:val="14"/>
          <w:szCs w:val="14"/>
          <w:color w:val="auto"/>
        </w:rPr>
      </w:pPr>
    </w:p>
    <w:p>
      <w:pPr>
        <w:ind w:left="1780" w:right="1359" w:hanging="130"/>
        <w:spacing w:after="0" w:line="273"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maintain or renew its relationship with existing distributors and customers, or maintain our sales network.</w:t>
      </w:r>
    </w:p>
    <w:p>
      <w:pPr>
        <w:spacing w:after="0" w:line="47" w:lineRule="exact"/>
        <w:rPr>
          <w:rFonts w:ascii="Times New Roman" w:cs="Times New Roman" w:eastAsia="Times New Roman" w:hAnsi="Times New Roman"/>
          <w:sz w:val="14"/>
          <w:szCs w:val="14"/>
          <w:color w:val="auto"/>
        </w:rPr>
      </w:pPr>
    </w:p>
    <w:p>
      <w:pPr>
        <w:ind w:left="1780" w:right="1359" w:hanging="130"/>
        <w:spacing w:after="0" w:line="273"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may be affected by the level of medical insurance reimbursement available to patients using our products.</w:t>
      </w:r>
    </w:p>
    <w:p>
      <w:pPr>
        <w:spacing w:after="0" w:line="1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Doing Business in China</w:t>
      </w:r>
    </w:p>
    <w:p>
      <w:pPr>
        <w:spacing w:after="0" w:line="112" w:lineRule="exact"/>
        <w:rPr>
          <w:sz w:val="20"/>
          <w:szCs w:val="20"/>
          <w:color w:val="auto"/>
        </w:rPr>
      </w:pPr>
    </w:p>
    <w:p>
      <w:pPr>
        <w:jc w:val="both"/>
        <w:ind w:left="1380" w:right="1359" w:firstLine="276"/>
        <w:spacing w:after="0" w:line="242" w:lineRule="auto"/>
        <w:rPr>
          <w:sz w:val="20"/>
          <w:szCs w:val="20"/>
          <w:color w:val="auto"/>
        </w:rPr>
      </w:pPr>
      <w:r>
        <w:rPr>
          <w:rFonts w:ascii="Times New Roman" w:cs="Times New Roman" w:eastAsia="Times New Roman" w:hAnsi="Times New Roman"/>
          <w:sz w:val="14"/>
          <w:szCs w:val="14"/>
          <w:color w:val="auto"/>
        </w:rPr>
        <w:t>We face various legal and operational risks and uncertainties related to being based in and having significant operations in China, and therefore are subject to risks associated with doing business in China generally. Risks and uncertainties related to doing business in China could result in a material adverse change in our operations, significantly limit or completely hinder our ability to offer our securities to investors, and cause the value of our securities to significantly decline or become worthless. Such risks and uncertainties include, but not limited to, the following:</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146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22115" cy="614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780" w:right="1359" w:hanging="130"/>
        <w:spacing w:after="0" w:line="248"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Chinese government has significant authority to intervene or influence our operations at any time, and to exert more control over offerings conducted overseas and/or foreign investment in China-based issuers.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and “— The filing with the CSRC may be required in connection with future overseas fund-raising activities, and we cannot predict whether we will be able to obtain such approval or complete such filing” in our 2025 20-F.</w:t>
      </w:r>
    </w:p>
    <w:p>
      <w:pPr>
        <w:spacing w:after="0" w:line="60" w:lineRule="exact"/>
        <w:rPr>
          <w:rFonts w:ascii="Times New Roman" w:cs="Times New Roman" w:eastAsia="Times New Roman" w:hAnsi="Times New Roman"/>
          <w:sz w:val="14"/>
          <w:szCs w:val="14"/>
          <w:color w:val="auto"/>
        </w:rPr>
      </w:pPr>
    </w:p>
    <w:p>
      <w:pPr>
        <w:jc w:val="both"/>
        <w:ind w:left="1780" w:right="1359" w:hanging="130"/>
        <w:spacing w:after="0" w:line="251"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securities may be delisted under the HFCAA if the PCAOB is unable to inspect auditors who are located in mainland China and Hong Kong.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w:t>
      </w:r>
    </w:p>
    <w:p>
      <w:pPr>
        <w:spacing w:after="0" w:line="52" w:lineRule="exact"/>
        <w:rPr>
          <w:rFonts w:ascii="Times New Roman" w:cs="Times New Roman" w:eastAsia="Times New Roman" w:hAnsi="Times New Roman"/>
          <w:sz w:val="14"/>
          <w:szCs w:val="14"/>
          <w:color w:val="auto"/>
        </w:rPr>
      </w:pPr>
    </w:p>
    <w:p>
      <w:pPr>
        <w:jc w:val="both"/>
        <w:ind w:left="1780" w:right="1359" w:hanging="130"/>
        <w:spacing w:after="0" w:line="249"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impact from PRC economic, political and social conditions, as well as changes in any government policies, laws and regulations.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and “— Adverse changes in economic and political policies of the PRC government could negatively impact China’s overall economic growth, which could materially adversely affect our business” in our 2025 20-F.</w:t>
      </w:r>
    </w:p>
    <w:p>
      <w:pPr>
        <w:spacing w:after="0" w:line="213" w:lineRule="exact"/>
        <w:rPr>
          <w:rFonts w:ascii="Times New Roman" w:cs="Times New Roman" w:eastAsia="Times New Roman" w:hAnsi="Times New Roman"/>
          <w:sz w:val="14"/>
          <w:szCs w:val="14"/>
          <w:color w:val="auto"/>
        </w:rPr>
      </w:pPr>
    </w:p>
    <w:p>
      <w:pPr>
        <w:jc w:val="both"/>
        <w:ind w:left="1780" w:right="1359" w:hanging="130"/>
        <w:spacing w:after="0" w:line="253"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uncertainties with respect to the PRC legal system, including such relating to the enforcement of rules and regulations in China and the risk that rules and regulations can change quickly with little advance notice. For details, see “Item 3. Key Information — D. Risk Factors —  Risks Related to Doing Business in China — Uncertainties in the interpretation and enforcement of PRC laws, rules and regulations could materially adversely affect our business” in our 2025 20-F.</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Securities and this Offering</w:t>
      </w:r>
    </w:p>
    <w:p>
      <w:pPr>
        <w:spacing w:after="0" w:line="91" w:lineRule="exact"/>
        <w:rPr>
          <w:sz w:val="20"/>
          <w:szCs w:val="20"/>
          <w:color w:val="auto"/>
        </w:rPr>
      </w:pPr>
    </w:p>
    <w:p>
      <w:pPr>
        <w:ind w:left="1780" w:hanging="130"/>
        <w:spacing w:after="0"/>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securities may be volatile, and the value of our securities may decline.</w:t>
      </w:r>
    </w:p>
    <w:p>
      <w:pPr>
        <w:spacing w:after="0" w:line="76" w:lineRule="exact"/>
        <w:rPr>
          <w:rFonts w:ascii="Times New Roman" w:cs="Times New Roman" w:eastAsia="Times New Roman" w:hAnsi="Times New Roman"/>
          <w:sz w:val="14"/>
          <w:szCs w:val="14"/>
          <w:color w:val="auto"/>
        </w:rPr>
      </w:pPr>
    </w:p>
    <w:p>
      <w:pPr>
        <w:ind w:left="1780" w:right="1359" w:hanging="130"/>
        <w:spacing w:after="0" w:line="273"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to purchase Ordinary Shares will increase the number of shares eligible for future resale in the public market and result in dilution to our shareholders.</w:t>
      </w:r>
    </w:p>
    <w:p>
      <w:pPr>
        <w:spacing w:after="0" w:line="37" w:lineRule="exact"/>
        <w:rPr>
          <w:rFonts w:ascii="Times New Roman" w:cs="Times New Roman" w:eastAsia="Times New Roman" w:hAnsi="Times New Roman"/>
          <w:sz w:val="14"/>
          <w:szCs w:val="14"/>
          <w:color w:val="auto"/>
        </w:rPr>
      </w:pPr>
    </w:p>
    <w:p>
      <w:pPr>
        <w:jc w:val="both"/>
        <w:ind w:left="1780" w:right="1359" w:hanging="130"/>
        <w:spacing w:after="0" w:line="259"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a foreign private issuer, and as a result, will not be subject to U.S. proxy rules and will be subject to Exchange Act reporting obligations that, to some extent, are more lenient and less frequent than those of a U.S. domestic public company.</w:t>
      </w:r>
    </w:p>
    <w:p>
      <w:pPr>
        <w:spacing w:after="0" w:line="37" w:lineRule="exact"/>
        <w:rPr>
          <w:rFonts w:ascii="Times New Roman" w:cs="Times New Roman" w:eastAsia="Times New Roman" w:hAnsi="Times New Roman"/>
          <w:sz w:val="14"/>
          <w:szCs w:val="14"/>
          <w:color w:val="auto"/>
        </w:rPr>
      </w:pPr>
    </w:p>
    <w:p>
      <w:pPr>
        <w:jc w:val="both"/>
        <w:ind w:left="1780" w:right="1359" w:hanging="130"/>
        <w:spacing w:after="0" w:line="253"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spacing w:after="0" w:line="51" w:lineRule="exact"/>
        <w:rPr>
          <w:rFonts w:ascii="Times New Roman" w:cs="Times New Roman" w:eastAsia="Times New Roman" w:hAnsi="Times New Roman"/>
          <w:sz w:val="14"/>
          <w:szCs w:val="14"/>
          <w:color w:val="auto"/>
        </w:rPr>
      </w:pPr>
    </w:p>
    <w:p>
      <w:pPr>
        <w:jc w:val="both"/>
        <w:ind w:left="1780" w:right="1359" w:hanging="130"/>
        <w:spacing w:after="0" w:line="255"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194945</wp:posOffset>
            </wp:positionV>
            <wp:extent cx="52330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249555</wp:posOffset>
            </wp:positionV>
            <wp:extent cx="4222115" cy="6100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22115" cy="610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122" w:lineRule="exact"/>
        <w:rPr>
          <w:sz w:val="20"/>
          <w:szCs w:val="20"/>
          <w:color w:val="auto"/>
        </w:rPr>
      </w:pPr>
    </w:p>
    <w:p>
      <w:pPr>
        <w:jc w:val="both"/>
        <w:ind w:left="1380" w:right="1359" w:firstLine="276"/>
        <w:spacing w:after="0" w:line="250"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61" w:lineRule="exact"/>
        <w:rPr>
          <w:sz w:val="20"/>
          <w:szCs w:val="20"/>
          <w:color w:val="auto"/>
        </w:rPr>
      </w:pPr>
    </w:p>
    <w:p>
      <w:pPr>
        <w:jc w:val="both"/>
        <w:ind w:left="1380" w:right="1359" w:firstLine="276"/>
        <w:spacing w:after="0" w:line="248"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9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will remain an emerging growth company until the earlier of: (1) the last day of the fiscal year</w:t>
      </w:r>
    </w:p>
    <w:p>
      <w:pPr>
        <w:spacing w:after="0" w:line="18" w:lineRule="exact"/>
        <w:rPr>
          <w:sz w:val="20"/>
          <w:szCs w:val="20"/>
          <w:color w:val="auto"/>
        </w:rPr>
      </w:pPr>
    </w:p>
    <w:p>
      <w:pPr>
        <w:jc w:val="both"/>
        <w:ind w:left="1380" w:right="1359" w:hanging="6"/>
        <w:spacing w:after="0" w:line="248" w:lineRule="auto"/>
        <w:tabs>
          <w:tab w:leader="none" w:pos="1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fifth anniversary of the consummation of the Business Combination, (ii) in which we have total annual gross revenue of at least US$1.235 billion, or (iii) in which we are deemed to be a large accelerated filer, which means the market value of Ordinary Shares that are held by non-affiliates exceeds US$700 million as of the last business day of its most recently completed second fiscal quarter; and (2) the date on which we have issued more than US$1.00 billion in non-convertible debt securities during the prior three-year period. References herein to “emerging growth company” have the meaning associated with it in the JOBS Act.</w:t>
      </w:r>
    </w:p>
    <w:p>
      <w:pPr>
        <w:spacing w:after="0" w:line="3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Foreign Private Issuer</w:t>
      </w:r>
    </w:p>
    <w:p>
      <w:pPr>
        <w:spacing w:after="0" w:line="122" w:lineRule="exact"/>
        <w:rPr>
          <w:sz w:val="20"/>
          <w:szCs w:val="20"/>
          <w:color w:val="auto"/>
        </w:rPr>
      </w:pPr>
    </w:p>
    <w:p>
      <w:pPr>
        <w:jc w:val="both"/>
        <w:ind w:left="1380" w:right="1359" w:firstLine="276"/>
        <w:spacing w:after="0" w:line="249" w:lineRule="auto"/>
        <w:rPr>
          <w:sz w:val="20"/>
          <w:szCs w:val="20"/>
          <w:color w:val="auto"/>
        </w:rPr>
      </w:pPr>
      <w:r>
        <w:rPr>
          <w:rFonts w:ascii="Times New Roman" w:cs="Times New Roman" w:eastAsia="Times New Roman" w:hAnsi="Times New Roman"/>
          <w:sz w:val="14"/>
          <w:szCs w:val="14"/>
          <w:color w:val="auto"/>
        </w:rPr>
        <w:t>We are a foreign private issuer within the meaning of the rules under the Exchange Act and, as such, we are permitted to follow the corporate governance practices of its home country, the Cayman Islands, in lieu of the corporate governance standards of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follow its home country’s corporate governance practices as long as it remains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short-swing profit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22"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incorporate by reference the documents listed below:</w:t>
      </w:r>
    </w:p>
    <w:p>
      <w:pPr>
        <w:spacing w:after="0" w:line="87" w:lineRule="exact"/>
        <w:rPr>
          <w:sz w:val="20"/>
          <w:szCs w:val="20"/>
          <w:color w:val="auto"/>
        </w:rPr>
      </w:pPr>
    </w:p>
    <w:p>
      <w:pPr>
        <w:ind w:left="1780" w:right="1379" w:hanging="144"/>
        <w:spacing w:after="0" w:line="273" w:lineRule="auto"/>
        <w:tabs>
          <w:tab w:leader="none" w:pos="1780" w:val="left"/>
        </w:tabs>
        <w:numPr>
          <w:ilvl w:val="0"/>
          <w:numId w:val="11"/>
        </w:numPr>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20-F for the year ended December 31, 2025 filed with the SEC on</w:t>
        </w:r>
      </w:hyperlink>
      <w:r>
        <w:rPr>
          <w:rFonts w:ascii="Times New Roman" w:cs="Times New Roman" w:eastAsia="Times New Roman" w:hAnsi="Times New Roman"/>
          <w:sz w:val="14"/>
          <w:szCs w:val="14"/>
          <w:color w:val="auto"/>
        </w:rPr>
        <w:t xml:space="preserve"> </w:t>
      </w:r>
      <w:hyperlink r:id="rId48">
        <w:r>
          <w:rPr>
            <w:rFonts w:ascii="Times New Roman" w:cs="Times New Roman" w:eastAsia="Times New Roman" w:hAnsi="Times New Roman"/>
            <w:sz w:val="14"/>
            <w:szCs w:val="14"/>
            <w:u w:val="single" w:color="auto"/>
            <w:color w:val="0000EE"/>
          </w:rPr>
          <w:t>April 24,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hyperlink>
    </w:p>
    <w:p>
      <w:pPr>
        <w:spacing w:after="0" w:line="47" w:lineRule="exact"/>
        <w:rPr>
          <w:rFonts w:ascii="Times New Roman" w:cs="Times New Roman" w:eastAsia="Times New Roman" w:hAnsi="Times New Roman"/>
          <w:sz w:val="14"/>
          <w:szCs w:val="14"/>
          <w:color w:val="0000EE"/>
        </w:rPr>
      </w:pPr>
    </w:p>
    <w:p>
      <w:pPr>
        <w:jc w:val="both"/>
        <w:ind w:left="1780" w:right="1379" w:hanging="144"/>
        <w:spacing w:after="0" w:line="254" w:lineRule="auto"/>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249" w:lineRule="exact"/>
        <w:rPr>
          <w:rFonts w:ascii="Times New Roman" w:cs="Times New Roman" w:eastAsia="Times New Roman" w:hAnsi="Times New Roman"/>
          <w:sz w:val="14"/>
          <w:szCs w:val="14"/>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Our annual report for the year ended December 31, 2025 filed with the SEC on April 24, 2026 contains a description of our business and audited consolidated financial statements with reports by independent auditor. The consolidated financial statements are prepared and presented in accordance with the U.S. GAAP.</w:t>
      </w:r>
    </w:p>
    <w:p>
      <w:pPr>
        <w:spacing w:after="0" w:line="258" w:lineRule="exact"/>
        <w:rPr>
          <w:rFonts w:ascii="Times New Roman" w:cs="Times New Roman" w:eastAsia="Times New Roman" w:hAnsi="Times New Roman"/>
          <w:sz w:val="14"/>
          <w:szCs w:val="14"/>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261"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Room 202, 2/F, Baide Building, Building 11, No. 15</w:t>
      </w:r>
    </w:p>
    <w:p>
      <w:pPr>
        <w:spacing w:after="0" w:line="18"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Rongtong Street, Yuexiu District, Guangzhou, Peoples Republic of China</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 20 8218-5926</w:t>
      </w:r>
    </w:p>
    <w:p>
      <w:pPr>
        <w:spacing w:after="0" w:line="95" w:lineRule="exact"/>
        <w:rPr>
          <w:rFonts w:ascii="Times New Roman" w:cs="Times New Roman" w:eastAsia="Times New Roman" w:hAnsi="Times New Roman"/>
          <w:sz w:val="14"/>
          <w:szCs w:val="14"/>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4"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2"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w:t>
      </w:r>
    </w:p>
    <w:p>
      <w:pPr>
        <w:spacing w:after="0" w:line="95"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58" w:lineRule="exact"/>
        <w:rPr>
          <w:sz w:val="20"/>
          <w:szCs w:val="20"/>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have been or may be instituted against us;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maintain the listing of the Ordinary Shares on Nasdaq;</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markets are rapidly evolving and may decline or experience limited growth;</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expand our customer base;</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the markets in which we operate;</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and enhance our brand;</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rapidly changing and increasingly stringent laws, contractual obligations and industry standards relating to our operations; and</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matters described in the section titled “Risk Factors.”</w:t>
      </w:r>
    </w:p>
    <w:p>
      <w:pPr>
        <w:spacing w:after="0" w:line="108"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spacing w:after="0" w:line="98"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Market and industry data used throughout this prospectus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in the section entitled “Risk Factors” and elsewhere in this prospectus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Investing in the securities involves risk. Before investing in any of the securities that may be offered or sold pursuant to this prospectus, you should carefully consider the risk factors and uncertainties described in this section related to this offering, and those under the heading “Item 3. Key Information — D. Risk Factors” in our 2025 20 -F, which are incorporated in this prospectus by reference, as updated by our subsequent filings under the Exchange Act, and, if applicable, in any or documents incorporated by reference. These risks and uncertainties could materially affect our business, results of operations or financial condition and cause the value of the securities to decline. You could lose all or part of your investment.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Securities and this Offering</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securities may be volatile, and the value of our securities may decline.</w:t>
      </w:r>
    </w:p>
    <w:p>
      <w:pPr>
        <w:spacing w:after="0" w:line="112"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We cannot predict the prices at which our securities will trade. The price of our securities may not bear any relationship to the market price at which our securities traded immediately after the Business Combination or to any other established criteria of the value of our business and prospects, and the market price of our securities may fluctuate substantially and may be lower than the price agreed by ExcelFin and us in connection with the Business Combination. In addition, the trading price of our securities has been and is likely to continue to be volatile, and could fluctuate widely in response to various factors, some of which are beyond its control. The volatility of and fluctuations in the trading price of our Ordinary Shares could cause you to lose all or part of your investment. Factors that could cause fluctuations in the trading price of our securities include the following:</w:t>
      </w:r>
    </w:p>
    <w:p>
      <w:pPr>
        <w:spacing w:after="0" w:line="63" w:lineRule="exact"/>
        <w:rPr>
          <w:sz w:val="20"/>
          <w:szCs w:val="20"/>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 or results of operations;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variance in our financial performance from expectations of securities analysts;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projected operating and financial results;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business;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our or our competitors of significant business developments, acquisitions or new offerings;</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securities by our shareholders or warrant holders, including the sales of the Registered Securities as described in this prospectus, as well as the anticipation of lockup releases;</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breaches of, disruptions to or other incidents involving our information technology systems or those of our business partners;</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involvement in material litigation;</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developments affecting the medical technology industry in China;</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key personnel;</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volume of our securities;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and</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global pandemics or responses to these events.</w:t>
      </w:r>
    </w:p>
    <w:p>
      <w:pPr>
        <w:spacing w:after="0" w:line="126" w:lineRule="exact"/>
        <w:rPr>
          <w:sz w:val="20"/>
          <w:szCs w:val="20"/>
          <w:color w:val="auto"/>
        </w:rPr>
      </w:pPr>
    </w:p>
    <w:p>
      <w:pPr>
        <w:jc w:val="both"/>
        <w:ind w:left="1360" w:right="1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Warrants to purchase the Ordinary Shares will increase the number of shares eligible for future resale in the public market and result in dilution to our shareholders.</w:t>
      </w:r>
    </w:p>
    <w:p>
      <w:pPr>
        <w:spacing w:after="0" w:line="74"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Upon the consummation of the Business Combination, outstanding ExcelFin Warrants were assumed by us and converted into corresponding warrants to purchase an aggregate of 11,500,000 Ordinary Shares. The Assumed Public Warrants will expire five years after the completion of the Business Combination. Each Assumed Public Warrant entitles the holder thereof to purchase one Ordinary Share at a price of US$11.50 per whole share, subject to adjustment. The Assumed Public Warrants may be exercised only for a whole number of the Ordinary Shares. To the extent such warrants are exercised, additional Ordinary Shares will be</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9" w:lineRule="auto"/>
        <w:rPr>
          <w:sz w:val="20"/>
          <w:szCs w:val="20"/>
          <w:color w:val="auto"/>
        </w:rPr>
      </w:pPr>
      <w:r>
        <w:rPr>
          <w:rFonts w:ascii="Times New Roman" w:cs="Times New Roman" w:eastAsia="Times New Roman" w:hAnsi="Times New Roman"/>
          <w:sz w:val="14"/>
          <w:szCs w:val="14"/>
          <w:color w:val="auto"/>
        </w:rPr>
        <w:t>issued, which will result in dilution to the then-existing holders of the Ordinary Shares and increase the number of shares eligible for resale in the public market. Sales of substantial numbers of such shares in the public market could adversely affect the market price of the Ordinary Shares.</w:t>
      </w:r>
    </w:p>
    <w:p>
      <w:pPr>
        <w:spacing w:after="0" w:line="137" w:lineRule="exact"/>
        <w:rPr>
          <w:sz w:val="20"/>
          <w:szCs w:val="20"/>
          <w:color w:val="auto"/>
        </w:rPr>
      </w:pPr>
    </w:p>
    <w:p>
      <w:pPr>
        <w:jc w:val="both"/>
        <w:ind w:left="1360" w:right="13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are a foreign private issuer, and as such are not subject to U.S. proxy rules and will be subject to Exchange Act reporting obligations that, to some extent, are more lenient and less frequent than those of a U.S. domestic public company.</w:t>
      </w:r>
    </w:p>
    <w:p>
      <w:pPr>
        <w:spacing w:after="0" w:line="87"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imposing liability on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w:t>
      </w:r>
    </w:p>
    <w:p>
      <w:pPr>
        <w:spacing w:after="0" w:line="150" w:lineRule="exact"/>
        <w:rPr>
          <w:sz w:val="20"/>
          <w:szCs w:val="20"/>
          <w:color w:val="auto"/>
        </w:rPr>
      </w:pPr>
    </w:p>
    <w:p>
      <w:pPr>
        <w:jc w:val="both"/>
        <w:ind w:left="1360" w:right="13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spacing w:after="0" w:line="90"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Our securities are listed on the Nasdaq Stock Market. The Nasdaq Stock Market corporate governance listing standards permit a foreign private issuer such as us to follow the corporate governance practices of its home country. Certain corporate governance practices in the Cayman Islands, which is our home country, may differ significantly from the Nasdaq Stock Market corporate governance listing standards.</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For instance, we are not required to:</w:t>
      </w:r>
    </w:p>
    <w:p>
      <w:pPr>
        <w:spacing w:after="0" w:line="98" w:lineRule="exact"/>
        <w:rPr>
          <w:sz w:val="20"/>
          <w:szCs w:val="20"/>
          <w:color w:val="auto"/>
        </w:rPr>
      </w:pPr>
    </w:p>
    <w:p>
      <w:pPr>
        <w:ind w:left="1780" w:hanging="144"/>
        <w:spacing w:after="0"/>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 majority of the board be independent;</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 compensation committee or a nominations and corporate governance committee consisting entirely of independent directors; or</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regularly scheduled executive sessions with only independent directors each year.</w:t>
      </w:r>
    </w:p>
    <w:p>
      <w:pPr>
        <w:spacing w:after="0" w:line="118"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We do not intend to have a majority of the board be independent or hold annual meeting of shareholders. We may also continue to rely on this and other exemptions available to foreign private issuers in the future, and to the extent that we choose to do so, our shareholders may be afforded less protection than they otherwise would have under the Nasdaq Stock Market Rules applicable to U.S. domestic issuers.</w:t>
      </w:r>
    </w:p>
    <w:p>
      <w:pPr>
        <w:spacing w:after="0" w:line="139" w:lineRule="exact"/>
        <w:rPr>
          <w:sz w:val="20"/>
          <w:szCs w:val="20"/>
          <w:color w:val="auto"/>
        </w:rPr>
      </w:pPr>
    </w:p>
    <w:p>
      <w:pPr>
        <w:jc w:val="both"/>
        <w:ind w:left="1360" w:right="13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p>
      <w:pPr>
        <w:spacing w:after="0" w:line="80"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We are an exempted company limited by shares incorporated under the laws of the Cayman Islands. We conduct a majority of our operations through our PRC subsidiaries. Substantially all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the us or against these individuals outside of the United States in the event that you believe that your rights have been infringed upon under the applicable securities laws or otherwise. Even if you are successful in bringing an action of this kind, the laws of the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73" w:lineRule="auto"/>
        <w:rPr>
          <w:sz w:val="20"/>
          <w:szCs w:val="20"/>
          <w:color w:val="auto"/>
        </w:rPr>
      </w:pPr>
      <w:r>
        <w:rPr>
          <w:rFonts w:ascii="Times New Roman" w:cs="Times New Roman" w:eastAsia="Times New Roman" w:hAnsi="Times New Roman"/>
          <w:sz w:val="14"/>
          <w:szCs w:val="14"/>
          <w:color w:val="auto"/>
        </w:rPr>
        <w:t>Cayman Islands and of the PRC could render you unable to enforce a judgment against the relevant assets or the assets of the relevant directors and officers.</w:t>
      </w:r>
    </w:p>
    <w:p>
      <w:pPr>
        <w:spacing w:after="0" w:line="68" w:lineRule="exact"/>
        <w:rPr>
          <w:sz w:val="20"/>
          <w:szCs w:val="20"/>
          <w:color w:val="auto"/>
        </w:rPr>
      </w:pPr>
    </w:p>
    <w:p>
      <w:pPr>
        <w:jc w:val="both"/>
        <w:ind w:left="1360" w:right="1379" w:firstLine="276"/>
        <w:spacing w:after="0" w:line="238" w:lineRule="auto"/>
        <w:rPr>
          <w:sz w:val="20"/>
          <w:szCs w:val="20"/>
          <w:color w:val="auto"/>
        </w:rPr>
      </w:pPr>
      <w:r>
        <w:rPr>
          <w:rFonts w:ascii="Times New Roman" w:cs="Times New Roman" w:eastAsia="Times New Roman" w:hAnsi="Times New Roman"/>
          <w:sz w:val="14"/>
          <w:szCs w:val="14"/>
          <w:color w:val="auto"/>
        </w:rPr>
        <w:t>In addition, our corporate affairs are governed by our Amended and Restated Memorandum and Articles of Association, the Companies Act (As Revised) of the Cayman Islands and the common law of the Cayman Islands. The rights of investors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96"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Shareholders of Cayman Islands exempted companies like us have no general rights under Cayman Islands law to inspect corporate records or to obtain copies of lists of shareholders of these companies (save for the memorandum and articles of association, the register of mortgages and charges, and special resolutions of our shareholders). Our directors have discretion under the Amended and Restated Memorandum and Articles of Association to determine whether or not, and under what conditions, our corporate records may be inspected by our shareholders, but we are not obliged to make them available to the shareholders. This may make it more difficult for you to obtain the information needed to establish any facts necessary for a shareholder’s motion or to solicit proxies from other shareholders in connection with a proxy contest.</w:t>
      </w:r>
    </w:p>
    <w:p>
      <w:pPr>
        <w:spacing w:after="0" w:line="243"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See “— 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spacing w:after="0" w:line="92" w:lineRule="exact"/>
        <w:rPr>
          <w:sz w:val="20"/>
          <w:szCs w:val="20"/>
          <w:color w:val="auto"/>
        </w:rPr>
      </w:pPr>
    </w:p>
    <w:p>
      <w:pPr>
        <w:jc w:val="both"/>
        <w:ind w:left="1360" w:right="1379" w:firstLine="276"/>
        <w:spacing w:after="0" w:line="244" w:lineRule="auto"/>
        <w:rPr>
          <w:sz w:val="20"/>
          <w:szCs w:val="20"/>
          <w:color w:val="auto"/>
        </w:rPr>
      </w:pPr>
      <w:r>
        <w:rPr>
          <w:rFonts w:ascii="Times New Roman" w:cs="Times New Roman" w:eastAsia="Times New Roman" w:hAnsi="Times New Roman"/>
          <w:sz w:val="14"/>
          <w:szCs w:val="14"/>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46" w:lineRule="exact"/>
        <w:rPr>
          <w:sz w:val="20"/>
          <w:szCs w:val="20"/>
          <w:color w:val="auto"/>
        </w:rPr>
      </w:pPr>
    </w:p>
    <w:p>
      <w:pPr>
        <w:jc w:val="both"/>
        <w:ind w:left="1360" w:right="1379"/>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The Amended and Restated Memorandum and Articles of Association contain certain provisions, including anti-takeover provisions that limit the ability of shareholders to take certain actions and could delay or discourage takeover attempts that shareholders may consider favorable.</w:t>
      </w:r>
    </w:p>
    <w:p>
      <w:pPr>
        <w:spacing w:after="0" w:line="86"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The Amended and Restated Memorandum and Articles of Association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the Ordinary Shares, and therefore depress the trading price of the Ordinary Shares. These provisions could also make it difficult for shareholders to take certain actions, including electing directors who are not nominated by us or taking other corporate actions, including effecting changes in our management. These provisions, alone or together, could delay or prevent hostile takeovers and changes in control or changes in our board of directors or management.</w:t>
      </w:r>
    </w:p>
    <w:p>
      <w:pPr>
        <w:spacing w:after="0" w:line="140" w:lineRule="exact"/>
        <w:rPr>
          <w:sz w:val="20"/>
          <w:szCs w:val="20"/>
          <w:color w:val="auto"/>
        </w:rPr>
      </w:pPr>
    </w:p>
    <w:p>
      <w:pPr>
        <w:jc w:val="both"/>
        <w:ind w:left="1360" w:right="135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A market for our securities may not develop or be sustained, which would adversely affect the liquidity and price of our securities.</w:t>
      </w:r>
    </w:p>
    <w:p>
      <w:pPr>
        <w:spacing w:after="0" w:line="64" w:lineRule="exact"/>
        <w:rPr>
          <w:sz w:val="20"/>
          <w:szCs w:val="20"/>
          <w:color w:val="auto"/>
        </w:rPr>
      </w:pPr>
    </w:p>
    <w:p>
      <w:pPr>
        <w:jc w:val="both"/>
        <w:ind w:left="1360" w:right="1379" w:firstLine="276"/>
        <w:spacing w:after="0" w:line="246" w:lineRule="auto"/>
        <w:rPr>
          <w:sz w:val="20"/>
          <w:szCs w:val="20"/>
          <w:color w:val="auto"/>
        </w:rPr>
      </w:pPr>
      <w:r>
        <w:rPr>
          <w:rFonts w:ascii="Times New Roman" w:cs="Times New Roman" w:eastAsia="Times New Roman" w:hAnsi="Times New Roman"/>
          <w:sz w:val="14"/>
          <w:szCs w:val="14"/>
          <w:color w:val="auto"/>
        </w:rPr>
        <w:t>The price of our securities has fluctuated and may continue to fluctuate significantly due to the market’s reaction to our financial performance, results of operations and general market and economic conditions. A</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1" w:lineRule="auto"/>
        <w:rPr>
          <w:sz w:val="20"/>
          <w:szCs w:val="20"/>
          <w:color w:val="auto"/>
        </w:rPr>
      </w:pPr>
      <w:r>
        <w:rPr>
          <w:rFonts w:ascii="Times New Roman" w:cs="Times New Roman" w:eastAsia="Times New Roman" w:hAnsi="Times New Roman"/>
          <w:sz w:val="14"/>
          <w:szCs w:val="14"/>
          <w:color w:val="auto"/>
        </w:rPr>
        <w:t>substantial amount of our Ordinary Shares are subject to transfer restrictions following the Business Combination. An active trading market for our securities may not be sustained. In addition, the price of our securities may vary due to general economic conditions and forecasts, our general business condition and the release of its financial reports. Additionally, if our securities are delisted from the Nasdaq Stock Market and are quoted on over-the-counter market, the liquidity and price of our securities may be more limited than if our securities were quoted or listed on the Nasdaq Stock Market or another national securities exchange. You may be unable to sell your securities unless a market can be established or sustained.</w:t>
      </w:r>
    </w:p>
    <w:p>
      <w:pPr>
        <w:spacing w:after="0" w:line="141" w:lineRule="exact"/>
        <w:rPr>
          <w:sz w:val="20"/>
          <w:szCs w:val="20"/>
          <w:color w:val="auto"/>
        </w:rPr>
      </w:pPr>
    </w:p>
    <w:p>
      <w:pPr>
        <w:jc w:val="both"/>
        <w:ind w:left="1360" w:right="13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or cease publishing research or reports about us, our business, our market or competitors, or if they change their recommendations regarding our securities adversely, the price and trading volume of our securities could decline.</w:t>
      </w:r>
    </w:p>
    <w:p>
      <w:pPr>
        <w:spacing w:after="0" w:line="87"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The trading market for our securities will be influenced by the research and reports that industry or securities analysts may publish about us, our business, our market or competitors. If any of the analysts who may cover us change their recommendation regarding our securities adversely, or provide more favorable relative recommendations about our competitors, the price of our securities would likely decline. If any analyst who may cover us were to cease their coverage or fail to regularly publish reports on us, we could lose visibility in the financial markets, which could cause the price or trading volume of our securities to decline.</w:t>
      </w:r>
    </w:p>
    <w:p>
      <w:pPr>
        <w:spacing w:after="0" w:line="310" w:lineRule="exact"/>
        <w:rPr>
          <w:sz w:val="20"/>
          <w:szCs w:val="20"/>
          <w:color w:val="auto"/>
        </w:rPr>
      </w:pPr>
    </w:p>
    <w:p>
      <w:pPr>
        <w:jc w:val="both"/>
        <w:ind w:left="1360" w:right="135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Additional disclosure requirements to be adopted by and regulatory scrutiny from the SEC in response to risks related to companies with substantial operations in China could increase our compliance costs, subject it to additional disclosure requirements, and/or suspend or terminate our future securities offerings, resulting in difficulties in our capital-raising efforts.</w:t>
      </w:r>
    </w:p>
    <w:p>
      <w:pPr>
        <w:spacing w:after="0" w:line="90"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On July 30, 2021, in response to the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we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resulting in difficulties in our capital-raising efforts.</w:t>
      </w:r>
    </w:p>
    <w:p>
      <w:pPr>
        <w:spacing w:after="0" w:line="311" w:lineRule="exact"/>
        <w:rPr>
          <w:sz w:val="20"/>
          <w:szCs w:val="20"/>
          <w:color w:val="auto"/>
        </w:rPr>
      </w:pPr>
    </w:p>
    <w:p>
      <w:pPr>
        <w:jc w:val="both"/>
        <w:ind w:left="1360" w:right="1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issuance of additional share capital in connection with financings, acquisitions, investments, our equity incentive plans or otherwise will dilute all other shareholders.</w:t>
      </w:r>
    </w:p>
    <w:p>
      <w:pPr>
        <w:spacing w:after="0" w:line="64"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expect to issue additional share capital in the future that will result in dilution to all other shareholders. We also expect to grant equity awards to key employees under the 2024 Equity Incentive Plan. We may also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Ordinary Shares to decline.</w:t>
      </w:r>
    </w:p>
    <w:p>
      <w:pPr>
        <w:spacing w:after="0" w:line="310" w:lineRule="exact"/>
        <w:rPr>
          <w:sz w:val="20"/>
          <w:szCs w:val="20"/>
          <w:color w:val="auto"/>
        </w:rPr>
      </w:pPr>
    </w:p>
    <w:p>
      <w:pPr>
        <w:jc w:val="both"/>
        <w:ind w:left="1360" w:right="1379"/>
        <w:spacing w:after="0" w:line="319" w:lineRule="auto"/>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before we become profitable, and as a result, your ability to achieve a return on your investment in the foreseeable future will depend on appreciation in the price of the Ordinary Shares.</w:t>
      </w:r>
    </w:p>
    <w:p>
      <w:pPr>
        <w:spacing w:after="0" w:line="51"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We do not intend to pay any cash dividends before we become profitable, which may not occur in the foreseeable future. Any determination to pay dividends in the future will be at the discretion of our board of directors. Accordingly, you may need to rely on sales of the Ordinary Shares after price appreciation, which may never occur, as the only way to realize any future gains on your investment.</w:t>
      </w:r>
    </w:p>
    <w:p>
      <w:pPr>
        <w:spacing w:after="0" w:line="139" w:lineRule="exact"/>
        <w:rPr>
          <w:sz w:val="20"/>
          <w:szCs w:val="20"/>
          <w:color w:val="auto"/>
        </w:rPr>
      </w:pPr>
    </w:p>
    <w:p>
      <w:pPr>
        <w:jc w:val="both"/>
        <w:ind w:left="1360" w:right="1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the reduced reporting and disclosure requirements applicable to emerging growth companies may make our securities less attractive to investors.</w:t>
      </w:r>
    </w:p>
    <w:p>
      <w:pPr>
        <w:spacing w:after="0" w:line="74"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disclosure obligations regarding executive compensation in our periodic reports and</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73" w:lineRule="auto"/>
        <w:rPr>
          <w:sz w:val="20"/>
          <w:szCs w:val="20"/>
          <w:color w:val="auto"/>
        </w:rPr>
      </w:pPr>
      <w:r>
        <w:rPr>
          <w:rFonts w:ascii="Times New Roman" w:cs="Times New Roman" w:eastAsia="Times New Roman" w:hAnsi="Times New Roman"/>
          <w:sz w:val="14"/>
          <w:szCs w:val="14"/>
          <w:color w:val="auto"/>
        </w:rPr>
        <w:t>proxy statements, and the requirements of holding a nonbinding advisory vote on executive compensation and shareholder approval of any golden parachute payments not previously approved.</w:t>
      </w:r>
    </w:p>
    <w:p>
      <w:pPr>
        <w:spacing w:after="0" w:line="68" w:lineRule="exact"/>
        <w:rPr>
          <w:sz w:val="20"/>
          <w:szCs w:val="20"/>
          <w:color w:val="auto"/>
        </w:rPr>
      </w:pPr>
    </w:p>
    <w:p>
      <w:pPr>
        <w:jc w:val="both"/>
        <w:ind w:left="1360" w:right="1379" w:firstLine="276"/>
        <w:spacing w:after="0" w:line="238"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9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will remain an emerging growth company until the earlier of: (1) the last day of the fiscal year</w:t>
      </w:r>
    </w:p>
    <w:p>
      <w:pPr>
        <w:spacing w:after="0" w:line="8" w:lineRule="exact"/>
        <w:rPr>
          <w:sz w:val="20"/>
          <w:szCs w:val="20"/>
          <w:color w:val="auto"/>
        </w:rPr>
      </w:pPr>
    </w:p>
    <w:p>
      <w:pPr>
        <w:jc w:val="both"/>
        <w:ind w:left="1360" w:right="1379"/>
        <w:spacing w:after="0" w:line="238" w:lineRule="auto"/>
        <w:tabs>
          <w:tab w:leader="none" w:pos="1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fifth anniversary of the consummation of the Business Combination, (ii) in which we have total annual gross revenue of at least US$1.235 billion, or (iii) in which we are deemed to be a large accelerated filer, which means the market value of our common equity that is held by non-affiliates exceeds US$700 million as of the last business day of its most recently completed second fiscal quarter; and (2) the date on which we have issued more than US$1.00 billion in non-convertible debt securities during the prior three-year period.</w:t>
      </w:r>
    </w:p>
    <w:p>
      <w:pPr>
        <w:spacing w:after="0" w:line="93"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Investors may find our securities less attractive, and there may be a less active trading market for our securities, and the price of such securities may be more volatile.</w:t>
      </w:r>
    </w:p>
    <w:p>
      <w:pPr>
        <w:spacing w:after="0" w:line="137" w:lineRule="exact"/>
        <w:rPr>
          <w:sz w:val="20"/>
          <w:szCs w:val="20"/>
          <w:color w:val="auto"/>
        </w:rPr>
      </w:pPr>
    </w:p>
    <w:p>
      <w:pPr>
        <w:jc w:val="both"/>
        <w:ind w:left="1360" w:right="1379"/>
        <w:spacing w:after="0" w:line="302" w:lineRule="auto"/>
        <w:rPr>
          <w:sz w:val="20"/>
          <w:szCs w:val="20"/>
          <w:color w:val="auto"/>
        </w:rPr>
      </w:pPr>
      <w:r>
        <w:rPr>
          <w:rFonts w:ascii="Times New Roman" w:cs="Times New Roman" w:eastAsia="Times New Roman" w:hAnsi="Times New Roman"/>
          <w:sz w:val="13"/>
          <w:szCs w:val="13"/>
          <w:b w:val="1"/>
          <w:bCs w:val="1"/>
          <w:i w:val="1"/>
          <w:iCs w:val="1"/>
          <w:color w:val="auto"/>
        </w:rPr>
        <w:t>We will incur increased costs as a result of operating as a public company, and our management will be required to devote substantial time to comply with a public company’s responsibilities and corporate governance practices.</w:t>
      </w:r>
    </w:p>
    <w:p>
      <w:pPr>
        <w:spacing w:after="0" w:line="52" w:lineRule="exact"/>
        <w:rPr>
          <w:sz w:val="20"/>
          <w:szCs w:val="20"/>
          <w:color w:val="auto"/>
        </w:rPr>
      </w:pPr>
    </w:p>
    <w:p>
      <w:pPr>
        <w:jc w:val="both"/>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As a public company, we will incur significant legal, accounting and other expenses,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w:t>
      </w:r>
    </w:p>
    <w:p>
      <w:pPr>
        <w:spacing w:after="0" w:line="93"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In the past, shareholders of some public companies brought securities class action suits against these companies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w:t>
      </w:r>
    </w:p>
    <w:p>
      <w:pPr>
        <w:spacing w:after="0" w:line="93"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w:t>
      </w:r>
    </w:p>
    <w:p>
      <w:pPr>
        <w:spacing w:after="0" w:line="306" w:lineRule="exact"/>
        <w:rPr>
          <w:sz w:val="20"/>
          <w:szCs w:val="20"/>
          <w:color w:val="auto"/>
        </w:rPr>
      </w:pPr>
    </w:p>
    <w:p>
      <w:pPr>
        <w:jc w:val="both"/>
        <w:ind w:left="1360" w:right="1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If we are characterized as a passive foreign investment company (“PFIC”) for U.S. federal income tax purposes, U.S. holders may experience adverse U.S. federal income tax consequences.</w:t>
      </w:r>
    </w:p>
    <w:p>
      <w:pPr>
        <w:spacing w:after="0" w:line="64"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For purposes of making these determinations, a company is generally treated as directly earning a pro rata share of the income (and directly owning a pro rata share of the assets) of any entity in which it is considered to own at least 25% of the shares by value. The determination of whether we will be treated as a PFIC for the current taxable year will depend on a number of factors, including the amount of cash held by ExcelFin and Betters Medical Investment</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45" w:lineRule="auto"/>
        <w:rPr>
          <w:sz w:val="20"/>
          <w:szCs w:val="20"/>
          <w:color w:val="auto"/>
        </w:rPr>
      </w:pPr>
      <w:r>
        <w:rPr>
          <w:rFonts w:ascii="Times New Roman" w:cs="Times New Roman" w:eastAsia="Times New Roman" w:hAnsi="Times New Roman"/>
          <w:sz w:val="14"/>
          <w:szCs w:val="14"/>
          <w:color w:val="auto"/>
        </w:rPr>
        <w:t>Holdings Limited (“Betters Medical”) and its subsidiaries, among others. Accordingly, there can be no assurances in this regard or any assurances that we will not be treated as a PFIC in the current taxable year or any future taxable year. Moreover, the application of the PFIC rules is subject to uncertainty in several respects, and there can be no assurance that the Internal Revenue Service (the “IRS”) will not take a contrary position or that a court will not sustain such a challenge by the IRS.</w:t>
      </w:r>
    </w:p>
    <w:p>
      <w:pPr>
        <w:spacing w:after="0" w:line="88"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Whether we or any of our subsidiaries are a PFIC for any taxable year is a factual determination that depends on, among other things, the composition of its income and assets, and the market value of its securities. Changes in our composition, the composition of our income or the composition of its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If we are a PFIC for any taxable year, a U.S. holder of our securities may be subject to adverse tax consequences and may incur certain information reporting obligations.</w:t>
      </w:r>
    </w:p>
    <w:p>
      <w:pPr>
        <w:spacing w:after="0" w:line="296" w:lineRule="exact"/>
        <w:rPr>
          <w:sz w:val="20"/>
          <w:szCs w:val="20"/>
          <w:color w:val="auto"/>
        </w:rPr>
      </w:pPr>
    </w:p>
    <w:p>
      <w:pPr>
        <w:jc w:val="both"/>
        <w:ind w:left="1360" w:right="1379"/>
        <w:spacing w:after="0" w:line="319" w:lineRule="auto"/>
        <w:rPr>
          <w:sz w:val="20"/>
          <w:szCs w:val="20"/>
          <w:color w:val="auto"/>
        </w:rPr>
      </w:pPr>
      <w:r>
        <w:rPr>
          <w:rFonts w:ascii="Times New Roman" w:cs="Times New Roman" w:eastAsia="Times New Roman" w:hAnsi="Times New Roman"/>
          <w:sz w:val="13"/>
          <w:szCs w:val="13"/>
          <w:b w:val="1"/>
          <w:bCs w:val="1"/>
          <w:i w:val="1"/>
          <w:iCs w:val="1"/>
          <w:color w:val="auto"/>
        </w:rPr>
        <w:t>The IRS may not agree that we (i) should be treated as a non-U.S. corporation for U.S. federal income tax purposes and (ii) should not be treated as a “surrogate foreign corporation” for U.S. federal income tax purposes.</w:t>
      </w:r>
    </w:p>
    <w:p>
      <w:pPr>
        <w:spacing w:after="0" w:line="41"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For U.S. federal income tax purposes, a corporation generally is considered to be a tax resident in the jurisdiction of its organization or incorporation. Accordingly, under generally applicable U.S. federal income tax rules, we would be classified as a non-U.S. corporation (and, therefore, we would not be a U.S. tax resident) for U.S. federal income tax purposes because we are incorporated under the laws of the Cayman Islands. Section 7874 of the Code provides an exception to this general rule under which a non-U.S. incorporated entity may, in certain circumstances, be treated as a U.S. corporation for U.S. federal income tax purposes. If we were to be treated as a U.S. corporation for U.S. federal income tax purposes, we could be subject to substantial liability for additional U.S. income taxes, and the gross amount of any dividend payments to our non-U.S. holders could be subject to U.S. withholding tax. In addition, even if we are not treated as a U.S. corporation, we may be subject to unfavorable treatment as a “surrogate foreign corporation” in the event that ownership attributable to former ExcelFin stockholders exceeds a threshold amount. If it were determined that we are treated as a surrogate foreign corporation for U.S. federal income tax purposes under Section 7874 of the Code and the Treasury regulations promulgated thereunder, dividends by us would not qualify for “qualified dividend income” treatment, redemptions made by us of our stock would be subject to an excise tax of 1% of the fair market value of such stock under Section 4501 of the Code, and our U.S. affiliates after the completion of the First Merger could be subject to increased taxation under the inversion gain rules and Section 59A of the Code.</w:t>
      </w:r>
    </w:p>
    <w:p>
      <w:pPr>
        <w:spacing w:after="0" w:line="227"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do not currently expect to be treated as a U.S. corporation for U.S. federal income tax purposes or otherwise be subject to unfavorable treatment as a surrogate foreign corporation for U.S. federal income tax purposes. However, the rules for determining ownership under Section 7874 of the Code are complex and unclear. Accordingly, there can be no assurance that the IRS will not take the position that Section 7874 of the Code applied to the First Merger or that a court will not agree with such a position of the IRS in the event of litigation.</w:t>
      </w:r>
    </w:p>
    <w:p>
      <w:pPr>
        <w:spacing w:after="0" w:line="144" w:lineRule="exact"/>
        <w:rPr>
          <w:sz w:val="20"/>
          <w:szCs w:val="20"/>
          <w:color w:val="auto"/>
        </w:rPr>
      </w:pPr>
    </w:p>
    <w:p>
      <w:pPr>
        <w:jc w:val="both"/>
        <w:ind w:left="1360" w:right="1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If a U.S. holder is treated as owning at least 10% of our ordinary shares, such U.S. holder may be subject to adverse United States tax consequences.</w:t>
      </w:r>
    </w:p>
    <w:p>
      <w:pPr>
        <w:spacing w:after="0" w:line="64"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includes United States subsidiaries, certain of our non-United States subsidiaries will likely be treated as controlled foreign corporations. We cannot provide any assurances that we will assist our investors in determining whether any of our non-United States subsidiaries are treated as a controlled foreign corporation or whether</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3" w:lineRule="auto"/>
        <w:rPr>
          <w:sz w:val="20"/>
          <w:szCs w:val="20"/>
          <w:color w:val="auto"/>
        </w:rPr>
      </w:pPr>
      <w:r>
        <w:rPr>
          <w:rFonts w:ascii="Times New Roman" w:cs="Times New Roman" w:eastAsia="Times New Roman" w:hAnsi="Times New Roman"/>
          <w:sz w:val="14"/>
          <w:szCs w:val="14"/>
          <w:color w:val="auto"/>
        </w:rPr>
        <w:t>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2" w:lineRule="exact"/>
        <w:rPr>
          <w:sz w:val="20"/>
          <w:szCs w:val="20"/>
          <w:color w:val="auto"/>
        </w:rPr>
      </w:pPr>
    </w:p>
    <w:p>
      <w:pPr>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we offer as set forth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SECURITIES</w:t>
      </w:r>
    </w:p>
    <w:p>
      <w:pPr>
        <w:spacing w:after="0" w:line="122"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Baird Medical is a Cayman Islands exempted company and our affairs are governed by our memorandum and articles of association, as amended and restated from time to time, and the Companies Act (As Revised) of the Cayman Islands, which is referred to as the Companies Act (As Revised) below, and the common law of Cayman Islands. The following are summaries of certain material provisions of our Amended and Restated Memorandum and Articles of Association (the Amended and Restated Articles of Association is hereinafter defined as the “Articles”), attached as an exhibit to prospectus. You are encouraged to read the relevant provisions of the Companies Act (As Revised) and the Articles as they relate to the following summary.</w:t>
      </w: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We may issue, offer and sell from time to time, in one or more offerings, the following securities:</w:t>
      </w:r>
    </w:p>
    <w:p>
      <w:pPr>
        <w:spacing w:after="0" w:line="87" w:lineRule="exact"/>
        <w:rPr>
          <w:sz w:val="20"/>
          <w:szCs w:val="20"/>
          <w:color w:val="auto"/>
        </w:rPr>
      </w:pPr>
    </w:p>
    <w:p>
      <w:pPr>
        <w:ind w:left="1780" w:hanging="144"/>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shares;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and</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w:t>
      </w:r>
    </w:p>
    <w:p>
      <w:pPr>
        <w:spacing w:after="0" w:line="108"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The following sections contain a description of the terms and provisions of our Ordinary Shares, preferred shares, debt securities, warrants and units, which we may offer and sell using this prospectus. These summaries are not meant to be a complete description of each security. We will set forth in the applicable prospectus supplement a description of the preferred shares, debt securities, warrants, and units, in certain cases, the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22" w:lineRule="exact"/>
        <w:rPr>
          <w:sz w:val="20"/>
          <w:szCs w:val="20"/>
          <w:color w:val="auto"/>
        </w:rPr>
      </w:pPr>
    </w:p>
    <w:p>
      <w:pPr>
        <w:jc w:val="both"/>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As of the date of this prospectus, our authorized share capital is US$50,500 divided into 505,000,000 shares of a nominal or par value of US$0.0001 each, consisting of two share classes as follows:</w:t>
      </w:r>
    </w:p>
    <w:p>
      <w:pPr>
        <w:spacing w:after="0" w:line="1" w:lineRule="exact"/>
        <w:rPr>
          <w:sz w:val="20"/>
          <w:szCs w:val="20"/>
          <w:color w:val="auto"/>
        </w:rPr>
      </w:pPr>
    </w:p>
    <w:p>
      <w:pPr>
        <w:ind w:left="1540" w:hanging="180"/>
        <w:spacing w:after="0"/>
        <w:tabs>
          <w:tab w:leader="none" w:pos="1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ordinary shares of a nominal or par value of US$0.0001 each (the “Ordinary Shares”) and</w:t>
      </w:r>
    </w:p>
    <w:p>
      <w:pPr>
        <w:spacing w:after="0" w:line="4" w:lineRule="exact"/>
        <w:rPr>
          <w:rFonts w:ascii="Times New Roman" w:cs="Times New Roman" w:eastAsia="Times New Roman" w:hAnsi="Times New Roman"/>
          <w:sz w:val="14"/>
          <w:szCs w:val="14"/>
          <w:color w:val="auto"/>
        </w:rPr>
      </w:pPr>
    </w:p>
    <w:p>
      <w:pPr>
        <w:ind w:left="1360" w:right="1379"/>
        <w:spacing w:after="0" w:line="253" w:lineRule="auto"/>
        <w:tabs>
          <w:tab w:leader="none" w:pos="16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 series A convertible preferred shares of a nominal or par value of US$0.0001 each (the “Series A Preferred Shares”).</w:t>
      </w:r>
    </w:p>
    <w:p>
      <w:pPr>
        <w:spacing w:after="0" w:line="92"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As of the date of this prospectus, we had 42,208,763 Ordinary Shares and 290,000 Series A Preferred Shares issued and outstanding.</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12"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All of our issued Ordinary Shares are fully paid and non-assessable. The Ordinary Shares are issued in registered form, and are issued when registered in our register of members. Our shareholders who are non-residents of the Cayman Islands may freely hold and vote their Ordinary Shares.</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22"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we pay a dividend out of share premium if this would result in us being unable to pay our debts as they fall due in the ordinary course of business.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Register of Members</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Under Cayman Islands law, we must keep a register of members and there will be entered therein:</w:t>
      </w:r>
    </w:p>
    <w:p>
      <w:pPr>
        <w:spacing w:after="0" w:line="87" w:lineRule="exact"/>
        <w:rPr>
          <w:sz w:val="20"/>
          <w:szCs w:val="20"/>
          <w:color w:val="auto"/>
        </w:rPr>
      </w:pPr>
    </w:p>
    <w:p>
      <w:pPr>
        <w:jc w:val="both"/>
        <w:ind w:left="1780" w:right="1379" w:hanging="144"/>
        <w:spacing w:after="0" w:line="256"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the members with a statement of the shares held by each member, and the statement shall (i) distinguish each share by its number (so long as the share has a number);</w:t>
      </w:r>
    </w:p>
    <w:p>
      <w:pPr>
        <w:ind w:left="2020" w:hanging="246"/>
        <w:spacing w:after="0"/>
        <w:tabs>
          <w:tab w:leader="none" w:pos="2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 the amount paid or agreed to be considered as paid on the shares of each member;</w:t>
      </w:r>
    </w:p>
    <w:p>
      <w:pPr>
        <w:spacing w:after="0" w:line="4" w:lineRule="exact"/>
        <w:rPr>
          <w:rFonts w:ascii="Times New Roman" w:cs="Times New Roman" w:eastAsia="Times New Roman" w:hAnsi="Times New Roman"/>
          <w:sz w:val="14"/>
          <w:szCs w:val="14"/>
          <w:color w:val="auto"/>
        </w:rPr>
      </w:pPr>
    </w:p>
    <w:p>
      <w:pPr>
        <w:jc w:val="both"/>
        <w:ind w:left="1780" w:right="1379" w:hanging="6"/>
        <w:spacing w:after="0" w:line="250" w:lineRule="auto"/>
        <w:tabs>
          <w:tab w:leader="none" w:pos="2056"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 the number and category of shares held by each member; (iv) confirm whether each relevant category of shares held by a member carries voting rights under the Articles, and if so, whether such voting rights are conditional;</w:t>
      </w:r>
    </w:p>
    <w:p>
      <w:pPr>
        <w:spacing w:after="0" w:line="62"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name of any person was entered on the register as a member; and</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any person ceased to be a member.</w:t>
      </w:r>
    </w:p>
    <w:p>
      <w:pPr>
        <w:spacing w:after="0" w:line="108" w:lineRule="exact"/>
        <w:rPr>
          <w:sz w:val="20"/>
          <w:szCs w:val="20"/>
          <w:color w:val="auto"/>
        </w:rPr>
      </w:pPr>
    </w:p>
    <w:p>
      <w:pPr>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Under Cayman Islands law, our register of members is prima facie evidence of any matters by the Companies Act (As Revised) directed or authorized to be inserted therein.</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2" w:lineRule="exact"/>
        <w:rPr>
          <w:sz w:val="20"/>
          <w:szCs w:val="20"/>
          <w:color w:val="auto"/>
        </w:rPr>
      </w:pPr>
    </w:p>
    <w:p>
      <w:pPr>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Each holder of Ordinary Share shall be entitled to one vote per Ordinary Share. Each holder of Series A Preferred Shares shall be entitled to no voting right.</w:t>
      </w:r>
    </w:p>
    <w:p>
      <w:pPr>
        <w:spacing w:after="0" w:line="78" w:lineRule="exact"/>
        <w:rPr>
          <w:sz w:val="20"/>
          <w:szCs w:val="20"/>
          <w:color w:val="auto"/>
        </w:rPr>
      </w:pPr>
    </w:p>
    <w:p>
      <w:pPr>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Voting at any meeting of our shareholders is by show of hands unless a poll is demanded. A poll may be demanded by:</w:t>
      </w:r>
    </w:p>
    <w:p>
      <w:pPr>
        <w:spacing w:after="0" w:line="47" w:lineRule="exact"/>
        <w:rPr>
          <w:sz w:val="20"/>
          <w:szCs w:val="20"/>
          <w:color w:val="auto"/>
        </w:rPr>
      </w:pPr>
    </w:p>
    <w:p>
      <w:pPr>
        <w:ind w:left="1780" w:hanging="144"/>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chairperson of such meeting;</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at least three shareholders present in person or by proxy or (in the case of a shareholder being a corporation) by its duly authorized representative for the time being entitled to vote at the meeting;</w:t>
      </w:r>
    </w:p>
    <w:p>
      <w:pPr>
        <w:spacing w:after="0" w:line="4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shareholder(s) present in person or by proxy or (in the case of a shareholder being a corporation) by its duly authorized representative representing not less than one-tenth of the total voting rights of all shareholders having the right to vote at the meeting; and</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780" w:right="1379" w:hanging="144"/>
        <w:spacing w:after="0" w:line="255"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shareholder(s) present in person or by proxy or (in the case of a shareholder being a corporation) by its duly authorized representative and holding our shares conferring a right to vote at the meeting being shares on which an aggregate sum has been paid up equal to not less than one-tenth of the total sum paid up on all shares conferring that right.</w:t>
      </w:r>
    </w:p>
    <w:p>
      <w:pPr>
        <w:spacing w:after="0" w:line="91"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An ordinary resolution to be passed at a meeting by our shareholders requires the affirmative vote of a simple majority of the votes attaching to the Ordinary Shares cast at a meeting, while a special resolution requires the affirmative vote of no less than two- thirds of the votes cast attaching to the issued and outstanding Ordinary Shares at a meeting. A special resolution will be required for important matters such as a change of name, making changes to the Articles, a reduction of share capital and the winding up of Baird Medical, our shareholders may, among other things, divide or combine their shares by ordinary resolution.</w:t>
      </w:r>
    </w:p>
    <w:p>
      <w:pPr>
        <w:spacing w:after="0" w:line="250"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i w:val="1"/>
          <w:iCs w:val="1"/>
          <w:color w:val="auto"/>
        </w:rPr>
        <w:t>General Meetings of Shareholders</w:t>
      </w:r>
      <w:r>
        <w:rPr>
          <w:rFonts w:ascii="Times New Roman" w:cs="Times New Roman" w:eastAsia="Times New Roman" w:hAnsi="Times New Roman"/>
          <w:sz w:val="14"/>
          <w:szCs w:val="14"/>
          <w:color w:val="auto"/>
        </w:rPr>
        <w:t>. As a Cayman Islands exempted company, we are not obliged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Companies Act (As Revised) to call shareholders’ annual general meetings. The Articles provide that we shall, if required by the Companies Act (As Revised), in each year hold a general meeting as our annual general meeting, and shall specify the meeting as such in the notices calling it. An annual general meeting shall be held at such time and place as may be determined by our directors in accordance with the rules of Nasdaq, unless Nasdaq does not require the holding of an annual general meeting. General meetings, including annual general meetings, may be held at such times and in any location in the world as may be determined by our board of directors.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w:t>
      </w:r>
    </w:p>
    <w:p>
      <w:pPr>
        <w:spacing w:after="0" w:line="245"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Shareholders’ general meetings may be convened by the chairperson of the board of directors or by a majority of our board of directors. Advance notice of not more than sixty nor less than ten clear days is required for the convening of an annual general shareholders’ meeting (if any) and any other general meeting of shareholders. A quorum required for any general meeting of shareholders consists of two shareholders entitled to vote and present in person or by proxy or (in the case of a shareholder being a corporation) by its duly authorized representative representing not less than one-third in nominal value of our total issued voting shares throughout the meeting.</w:t>
      </w:r>
    </w:p>
    <w:p>
      <w:pPr>
        <w:spacing w:after="0" w:line="93"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The Companies Act (As Revised) does not provide shareholders with any right to requisition a general meeting or to put any proposal before a general meeting.</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of Ordinary Shares</w:t>
      </w:r>
    </w:p>
    <w:p>
      <w:pPr>
        <w:spacing w:after="0" w:line="112"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Subject to the restrictions as set out in the Articles, our shareholders may transfer all or any of his or her Ordinary Shares by an instrument of transfer in the usual or common form or in a form prescribed by Nasdaq, the SEC and/or any competent regulatory authority or any other form approved by our board of directors. Notwithstanding the foregoing, Ordinary Shares may also be transferred in accordance with the applicable rules and regulations of Nasdaq, the SEC and/or any competent regulatory authority.</w:t>
      </w:r>
    </w:p>
    <w:p>
      <w:pPr>
        <w:spacing w:after="0" w:line="8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Our board of directors may decline to register any transfer of any Ordinary Share unless:</w:t>
      </w:r>
    </w:p>
    <w:p>
      <w:pPr>
        <w:spacing w:after="0" w:line="77" w:lineRule="exact"/>
        <w:rPr>
          <w:sz w:val="20"/>
          <w:szCs w:val="20"/>
          <w:color w:val="auto"/>
        </w:rPr>
      </w:pPr>
    </w:p>
    <w:p>
      <w:pPr>
        <w:jc w:val="both"/>
        <w:ind w:left="1780" w:right="1379" w:hanging="144"/>
        <w:spacing w:after="0" w:line="259"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accompanied by the certificate (if any) for the Ordinary Shares to which it relates and such other evidence as our board of directors may reasonably require to show the right of the transferor to make the transfer;</w:t>
      </w:r>
    </w:p>
    <w:p>
      <w:pPr>
        <w:spacing w:after="0" w:line="5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shares;</w:t>
      </w:r>
    </w:p>
    <w:p>
      <w:pPr>
        <w:spacing w:after="0" w:line="7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7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to joint holders, the number of joint holders to whom the Ordinary Shares is to be transferred does not exceed four; and</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the Nasdaq may determine to be payable or such lesser sum as our directors may from time to time require is paid to us in respect thereof.</w:t>
      </w:r>
    </w:p>
    <w:p>
      <w:pPr>
        <w:spacing w:after="0" w:line="68"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If the shares in question were issued in conjunction with rights, options and warrants issued pursuant to the Articles on terms that one cannot be transferred without the other, our board of directors shall refuse to register the transfer of any such shares without evidence satisfactory to them of the like transfer of such right, option or warrant.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If our directors refuse to register a transfer they shall, within two months after the date on which the instrument of transfer was lodged, send to each of the transferor and the transferee notice of such refusal.</w:t>
      </w:r>
    </w:p>
    <w:p>
      <w:pPr>
        <w:spacing w:after="0" w:line="78"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The registration of transfers may, after compliance with any notice required in accordance with the rules of Nasdaq, the SEC and/or any other competent regulatory authority be suspended and the register of members closed for transfer at such times and for such periods as our board of directors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22"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On a winding up of Baird Medical, if the assets available for distribution among our shareholders shall be more than sufficient 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us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w:t>
      </w:r>
    </w:p>
    <w:p>
      <w:pPr>
        <w:spacing w:after="0" w:line="3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Calls on Ordinary Shares and Forfeiture of Ordinary Shares</w:t>
      </w:r>
    </w:p>
    <w:p>
      <w:pPr>
        <w:spacing w:after="0" w:line="112"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Our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Repurchase and Surrender of Ordinary Shares</w:t>
      </w:r>
    </w:p>
    <w:p>
      <w:pPr>
        <w:spacing w:after="0" w:line="122"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may issue shares on terms that such shares are subject to redemption, at our option or at the option of the holders, on such terms and in such manner as may be determined, before the issue of such shares, by our board of directors. We may also repurchase any of our shares provided that the manner and terms of such purchase have been agreed between the board of directors and the relevant shareholder or are otherwise authorized by the Articles. Under the Companies Act (As Revised), the redemption or repurchase of any share may be paid out of our profits, share premium or out of the proceeds of a fresh issue of shares made for the purpose of such redemption or repurchase, or out of capital if we can, immediately following such payment, pay our debts as they fall due in the ordinary course of business. In addition, under the Companies Act (As Revised) no such share may be redeemed or repurchased (a) unless it is fully paid up,</w:t>
      </w:r>
    </w:p>
    <w:p>
      <w:pPr>
        <w:spacing w:after="0" w:line="5" w:lineRule="exact"/>
        <w:rPr>
          <w:sz w:val="20"/>
          <w:szCs w:val="20"/>
          <w:color w:val="auto"/>
        </w:rPr>
      </w:pPr>
    </w:p>
    <w:p>
      <w:pPr>
        <w:jc w:val="both"/>
        <w:ind w:left="1360" w:right="1379"/>
        <w:spacing w:after="0" w:line="250" w:lineRule="auto"/>
        <w:tabs>
          <w:tab w:leader="none" w:pos="156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redemption or repurchase would result in there being no shares outstanding, or (c) if the company has commenced liquidation. In addition, we may accept the surrender of any fully paid share for no consideration.</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Variations of Rights of Shares</w:t>
      </w:r>
    </w:p>
    <w:p>
      <w:pPr>
        <w:spacing w:after="0" w:line="122"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 xml:space="preserve">Whenever our capital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with such existing class of shares.</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in Capital</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Subject to the restrictions as set out in the Articles, we may from time to time by ordinary resolution:</w:t>
      </w:r>
    </w:p>
    <w:p>
      <w:pPr>
        <w:spacing w:after="0" w:line="87" w:lineRule="exact"/>
        <w:rPr>
          <w:sz w:val="20"/>
          <w:szCs w:val="20"/>
          <w:color w:val="auto"/>
        </w:rPr>
      </w:pPr>
    </w:p>
    <w:p>
      <w:pPr>
        <w:ind w:left="1780" w:right="1379" w:hanging="144"/>
        <w:spacing w:after="0" w:line="27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share capital by such sum, to be divided into shares of such classes and amount, as the resolution shall prescribe;</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our share capital into shares of a larger amount than our existing shares;</w:t>
      </w:r>
    </w:p>
    <w:p>
      <w:pPr>
        <w:spacing w:after="0" w:line="47" w:lineRule="exact"/>
        <w:rPr>
          <w:rFonts w:ascii="Times New Roman" w:cs="Times New Roman" w:eastAsia="Times New Roman" w:hAnsi="Times New Roman"/>
          <w:sz w:val="14"/>
          <w:szCs w:val="14"/>
          <w:color w:val="auto"/>
        </w:rPr>
      </w:pPr>
    </w:p>
    <w:p>
      <w:pPr>
        <w:jc w:val="both"/>
        <w:ind w:left="1780" w:right="1379" w:hanging="144"/>
        <w:spacing w:after="0" w:line="255"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w:t>
      </w:r>
    </w:p>
    <w:p>
      <w:pPr>
        <w:spacing w:after="0" w:line="50"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our existing shares, or any of them into shares of a smaller amount that is fixed by our memorandum of association; and</w:t>
      </w:r>
    </w:p>
    <w:p>
      <w:pPr>
        <w:spacing w:after="0" w:line="4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any shares which, at the date of the passing of the resolution, have not been taken or agreed to be taken by any person and diminish the amount of our share capital by the amount of the shares so cancelled.</w:t>
      </w:r>
    </w:p>
    <w:p>
      <w:pPr>
        <w:spacing w:after="0" w:line="89"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Subject to the Companies Act (As Revised) and confirmation by the Grand Court of the Cayman Islands on an application by us for an order confirming such reduction, we may by special resolution reduce our share capital, any capital redemption reserve or other undistributable reserves in any manner authorized by law.</w:t>
      </w:r>
    </w:p>
    <w:p>
      <w:pPr>
        <w:spacing w:after="0" w:line="3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Issuance of Additional Shares</w:t>
      </w:r>
    </w:p>
    <w:p>
      <w:pPr>
        <w:spacing w:after="0" w:line="122"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Subject to the restrictions as set out in the Articles, the Articles authorize our board of directors to issue additional ordinary shares from time to time as our board of directors shall determine, to the extent of available authorized but unissued shares.</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Appointment and Removal of Directors</w:t>
      </w:r>
    </w:p>
    <w:p>
      <w:pPr>
        <w:spacing w:after="0" w:line="112"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Under the Articles, our board of directors shall initially consist of up to seven directors, who shall be appointed to the board as follows:</w:t>
      </w:r>
    </w:p>
    <w:p>
      <w:pPr>
        <w:spacing w:after="0" w:line="78" w:lineRule="exact"/>
        <w:rPr>
          <w:sz w:val="20"/>
          <w:szCs w:val="20"/>
          <w:color w:val="auto"/>
        </w:rPr>
      </w:pPr>
    </w:p>
    <w:p>
      <w:pPr>
        <w:jc w:val="both"/>
        <w:ind w:left="1640" w:right="1379" w:firstLine="272"/>
        <w:spacing w:after="0" w:line="253" w:lineRule="auto"/>
        <w:tabs>
          <w:tab w:leader="none" w:pos="22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of which (the “Sponsor Director”) shall be appointed by ExcelFin SPAC LLC (the “Sponsor”) by written notice to our company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w:t>
      </w:r>
    </w:p>
    <w:p>
      <w:pPr>
        <w:spacing w:after="0" w:line="92" w:lineRule="exact"/>
        <w:rPr>
          <w:rFonts w:ascii="Times New Roman" w:cs="Times New Roman" w:eastAsia="Times New Roman" w:hAnsi="Times New Roman"/>
          <w:sz w:val="14"/>
          <w:szCs w:val="14"/>
          <w:color w:val="auto"/>
        </w:rPr>
      </w:pPr>
    </w:p>
    <w:p>
      <w:pPr>
        <w:jc w:val="both"/>
        <w:ind w:left="1640" w:right="1379" w:firstLine="272"/>
        <w:spacing w:after="0" w:line="251" w:lineRule="auto"/>
        <w:tabs>
          <w:tab w:leader="none" w:pos="220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 of which (collectively, the “Betters Directors”) shall be appointed by Betters Medical (or its affiliates) by written notice to our company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w:t>
      </w:r>
    </w:p>
    <w:p>
      <w:pPr>
        <w:spacing w:after="0" w:line="86" w:lineRule="exact"/>
        <w:rPr>
          <w:rFonts w:ascii="Times New Roman" w:cs="Times New Roman" w:eastAsia="Times New Roman" w:hAnsi="Times New Roman"/>
          <w:sz w:val="14"/>
          <w:szCs w:val="14"/>
          <w:color w:val="auto"/>
        </w:rPr>
      </w:pPr>
    </w:p>
    <w:p>
      <w:pPr>
        <w:ind w:left="2180" w:hanging="268"/>
        <w:spacing w:after="0"/>
        <w:tabs>
          <w:tab w:leader="none" w:pos="21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of which shall be nominated and elected in accordance with the terms of the Articles.</w:t>
      </w:r>
    </w:p>
    <w:p>
      <w:pPr>
        <w:spacing w:after="0" w:line="118"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Subject to the above, we may by ordinary resolution of shareholders elect any person to be a director either to fill a casual vacancy or as an addition to the existing board; and our directors shall have the power from time to time and at any time to appoint any person as a director to fill a casual vacancy on the board or as an 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w:t>
      </w:r>
    </w:p>
    <w:p>
      <w:pPr>
        <w:spacing w:after="0" w:line="96"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Under the Articles, a director (other than the Sponsor Director and any of the Betters Directors) may be removed by way of an ordinary resolution of shareholders at any time before the expiration of his period of</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0" w:lineRule="auto"/>
        <w:rPr>
          <w:sz w:val="20"/>
          <w:szCs w:val="20"/>
          <w:color w:val="auto"/>
        </w:rPr>
      </w:pPr>
      <w:r>
        <w:rPr>
          <w:rFonts w:ascii="Times New Roman" w:cs="Times New Roman" w:eastAsia="Times New Roman" w:hAnsi="Times New Roman"/>
          <w:sz w:val="14"/>
          <w:szCs w:val="14"/>
          <w:color w:val="auto"/>
        </w:rPr>
        <w:t>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w:t>
      </w:r>
    </w:p>
    <w:p>
      <w:pPr>
        <w:spacing w:after="0" w:line="94"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us;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p>
      <w:pPr>
        <w:spacing w:after="0" w:line="93"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Inspection of Books and Records</w:t>
      </w:r>
    </w:p>
    <w:p>
      <w:pPr>
        <w:spacing w:after="0" w:line="112"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Holders of Ordinary Shares have no general right under Cayman Islands law to inspect or obtain copies of a list of our shareholders or our corporate records. However, the Articles provide our shareholders with the right to inspect our register of shareholders without charge and to receive our annual audited financial statements. See “Where You Can Find Additional Information.”</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122"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Some provisions of the Articles may discourage, delay or prevent a change of control in our company or management that shareholders may consider favorable, including provisions that:</w:t>
      </w:r>
    </w:p>
    <w:p>
      <w:pPr>
        <w:spacing w:after="0" w:line="78" w:lineRule="exact"/>
        <w:rPr>
          <w:sz w:val="20"/>
          <w:szCs w:val="20"/>
          <w:color w:val="auto"/>
        </w:rPr>
      </w:pPr>
    </w:p>
    <w:p>
      <w:pPr>
        <w:jc w:val="both"/>
        <w:ind w:left="1920" w:right="1379" w:hanging="284"/>
        <w:spacing w:after="0" w:line="259" w:lineRule="auto"/>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specifically provide for the Sponsor’s and Betters Medical’s right to appoint and/or remove the Sponsor Director and the Betters Directors (as the case may be) without further approval from the shareholders; and</w:t>
      </w:r>
    </w:p>
    <w:p>
      <w:pPr>
        <w:spacing w:after="0" w:line="78" w:lineRule="exact"/>
        <w:rPr>
          <w:rFonts w:ascii="Times New Roman" w:cs="Times New Roman" w:eastAsia="Times New Roman" w:hAnsi="Times New Roman"/>
          <w:sz w:val="14"/>
          <w:szCs w:val="14"/>
          <w:color w:val="auto"/>
        </w:rPr>
      </w:pPr>
    </w:p>
    <w:p>
      <w:pPr>
        <w:ind w:left="1920" w:hanging="284"/>
        <w:spacing w:after="0"/>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shareholders to requisition and convene general meetings of shareholder.</w:t>
      </w:r>
    </w:p>
    <w:p>
      <w:pPr>
        <w:spacing w:after="0" w:line="118"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The Articles and Cayman Islands law also require a special resolution to amend the Articles. Such requirement may prevent our shareholders from effecting a change of our management and/or removing provisions in our constitutional documents that may have an anti-takeover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Transfer Agent and Warrant Agent</w:t>
      </w:r>
    </w:p>
    <w:p>
      <w:pPr>
        <w:spacing w:after="0" w:line="122" w:lineRule="exact"/>
        <w:rPr>
          <w:sz w:val="20"/>
          <w:szCs w:val="20"/>
          <w:color w:val="auto"/>
        </w:rPr>
      </w:pPr>
    </w:p>
    <w:p>
      <w:pPr>
        <w:jc w:val="both"/>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The transfer agent for our Ordinary Shares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22"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w:t>
      </w:r>
    </w:p>
    <w:p>
      <w:pPr>
        <w:sectPr>
          <w:pgSz w:w="11900" w:h="16838" w:orient="portrait"/>
          <w:cols w:equalWidth="0" w:num="1">
            <w:col w:w="9019"/>
          </w:cols>
          <w:pgMar w:left="1440" w:top="104" w:right="1440" w:bottom="1440" w:gutter="0" w:footer="0" w:header="0"/>
        </w:sectPr>
      </w:pPr>
    </w:p>
    <w:p>
      <w:pPr>
        <w:spacing w:after="0" w:line="118"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Mergers and Similar</w:t>
      </w:r>
    </w:p>
    <w:p>
      <w:pPr>
        <w:spacing w:after="0" w:line="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Arrangements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Cayman Islands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The</w:t>
            </w:r>
          </w:p>
        </w:tc>
        <w:tc>
          <w:tcPr>
            <w:tcW w:w="740" w:type="dxa"/>
            <w:vAlign w:val="bottom"/>
            <w:tcBorders>
              <w:top w:val="single" w:sz="8" w:color="auto"/>
            </w:tcBorders>
            <w:gridSpan w:val="3"/>
          </w:tcPr>
          <w:p>
            <w:pPr>
              <w:ind w:left="60"/>
              <w:spacing w:after="0" w:line="153" w:lineRule="exact"/>
              <w:rPr>
                <w:sz w:val="20"/>
                <w:szCs w:val="20"/>
                <w:color w:val="auto"/>
              </w:rPr>
            </w:pPr>
            <w:r>
              <w:rPr>
                <w:rFonts w:ascii="Times New Roman" w:cs="Times New Roman" w:eastAsia="Times New Roman" w:hAnsi="Times New Roman"/>
                <w:sz w:val="14"/>
                <w:szCs w:val="14"/>
                <w:color w:val="auto"/>
              </w:rPr>
              <w:t>Companies</w:t>
            </w:r>
          </w:p>
        </w:tc>
        <w:tc>
          <w:tcPr>
            <w:tcW w:w="3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Act</w:t>
            </w:r>
          </w:p>
        </w:tc>
        <w:tc>
          <w:tcPr>
            <w:tcW w:w="380" w:type="dxa"/>
            <w:vAlign w:val="bottom"/>
            <w:tcBorders>
              <w:top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(As</w:t>
            </w:r>
          </w:p>
        </w:tc>
        <w:tc>
          <w:tcPr>
            <w:tcW w:w="600" w:type="dxa"/>
            <w:vAlign w:val="bottom"/>
            <w:tcBorders>
              <w:top w:val="single" w:sz="8" w:color="auto"/>
            </w:tcBorders>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rPr>
              <w:t>Revised)</w:t>
            </w: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top w:val="single" w:sz="8" w:color="auto"/>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Under</w:t>
            </w:r>
          </w:p>
        </w:tc>
        <w:tc>
          <w:tcPr>
            <w:tcW w:w="600" w:type="dxa"/>
            <w:vAlign w:val="bottom"/>
            <w:tcBorders>
              <w:top w:val="single" w:sz="8" w:color="auto"/>
            </w:tcBorders>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Delaware</w:t>
            </w:r>
          </w:p>
        </w:tc>
        <w:tc>
          <w:tcPr>
            <w:tcW w:w="36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law,</w:t>
            </w:r>
          </w:p>
        </w:tc>
        <w:tc>
          <w:tcPr>
            <w:tcW w:w="420" w:type="dxa"/>
            <w:vAlign w:val="bottom"/>
            <w:tcBorders>
              <w:top w:val="single" w:sz="8" w:color="auto"/>
            </w:tcBorders>
            <w:gridSpan w:val="2"/>
          </w:tcPr>
          <w:p>
            <w:pPr>
              <w:ind w:left="140"/>
              <w:spacing w:after="0" w:line="153" w:lineRule="exact"/>
              <w:rPr>
                <w:sz w:val="20"/>
                <w:szCs w:val="20"/>
                <w:color w:val="auto"/>
              </w:rPr>
            </w:pPr>
            <w:r>
              <w:rPr>
                <w:rFonts w:ascii="Times New Roman" w:cs="Times New Roman" w:eastAsia="Times New Roman" w:hAnsi="Times New Roman"/>
                <w:sz w:val="14"/>
                <w:szCs w:val="14"/>
                <w:color w:val="auto"/>
              </w:rPr>
              <w:t>with</w:t>
            </w:r>
          </w:p>
        </w:tc>
        <w:tc>
          <w:tcPr>
            <w:tcW w:w="52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certain</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permits</w:t>
            </w:r>
          </w:p>
        </w:tc>
        <w:tc>
          <w:tcPr>
            <w:tcW w:w="5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mergers</w:t>
            </w:r>
          </w:p>
        </w:tc>
        <w:tc>
          <w:tcPr>
            <w:tcW w:w="340" w:type="dxa"/>
            <w:vAlign w:val="bottom"/>
          </w:tcPr>
          <w:p>
            <w:pPr>
              <w:jc w:val="center"/>
              <w:ind w:left="71"/>
              <w:spacing w:after="0" w:line="155" w:lineRule="exact"/>
              <w:rPr>
                <w:sz w:val="20"/>
                <w:szCs w:val="20"/>
                <w:color w:val="auto"/>
              </w:rPr>
            </w:pPr>
            <w:r>
              <w:rPr>
                <w:rFonts w:ascii="Times New Roman" w:cs="Times New Roman" w:eastAsia="Times New Roman" w:hAnsi="Times New Roman"/>
                <w:sz w:val="14"/>
                <w:szCs w:val="14"/>
                <w:color w:val="auto"/>
                <w:w w:val="98"/>
              </w:rPr>
              <w:t>and</w:t>
            </w:r>
          </w:p>
        </w:tc>
        <w:tc>
          <w:tcPr>
            <w:tcW w:w="9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consolidations</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exceptions, a merger, a consolidation, or</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between Cayman Islands companies and</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a  sale,  lease  or  exchange  of  all  or</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between Cayman Islands companies and</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substantially  all  the  assets  of  a</w:t>
            </w:r>
          </w:p>
        </w:tc>
        <w:tc>
          <w:tcPr>
            <w:tcW w:w="0" w:type="dxa"/>
            <w:vAlign w:val="bottom"/>
          </w:tcPr>
          <w:p>
            <w:pPr>
              <w:spacing w:after="0"/>
              <w:rPr>
                <w:sz w:val="1"/>
                <w:szCs w:val="1"/>
                <w:color w:val="auto"/>
              </w:rPr>
            </w:pPr>
          </w:p>
        </w:tc>
      </w:tr>
      <w:tr>
        <w:trPr>
          <w:trHeight w:val="165"/>
        </w:trPr>
        <w:tc>
          <w:tcPr>
            <w:tcW w:w="2520" w:type="dxa"/>
            <w:vAlign w:val="bottom"/>
            <w:gridSpan w:val="10"/>
          </w:tcPr>
          <w:p>
            <w:pPr>
              <w:ind w:left="160"/>
              <w:spacing w:after="0"/>
              <w:rPr>
                <w:sz w:val="20"/>
                <w:szCs w:val="20"/>
                <w:color w:val="auto"/>
              </w:rPr>
            </w:pPr>
            <w:r>
              <w:rPr>
                <w:rFonts w:ascii="Times New Roman" w:cs="Times New Roman" w:eastAsia="Times New Roman" w:hAnsi="Times New Roman"/>
                <w:sz w:val="14"/>
                <w:szCs w:val="14"/>
                <w:color w:val="auto"/>
              </w:rPr>
              <w:t>non-Cayman  Islands  companies.  For</w:t>
            </w:r>
          </w:p>
        </w:tc>
        <w:tc>
          <w:tcPr>
            <w:tcW w:w="2560" w:type="dxa"/>
            <w:vAlign w:val="bottom"/>
            <w:gridSpan w:val="12"/>
          </w:tcPr>
          <w:p>
            <w:pPr>
              <w:ind w:left="160"/>
              <w:spacing w:after="0"/>
              <w:rPr>
                <w:sz w:val="20"/>
                <w:szCs w:val="20"/>
                <w:color w:val="auto"/>
              </w:rPr>
            </w:pPr>
            <w:r>
              <w:rPr>
                <w:rFonts w:ascii="Times New Roman" w:cs="Times New Roman" w:eastAsia="Times New Roman" w:hAnsi="Times New Roman"/>
                <w:sz w:val="14"/>
                <w:szCs w:val="14"/>
                <w:color w:val="auto"/>
              </w:rPr>
              <w:t>corporation must be approved by the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these purposes, (1) “merger” means the</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board of directors and a majority of the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merging  of  two  or  more  constituent</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outstanding  shares  entitled  to  vote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companies  and  the  vesting  of  their</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thereon. However, unless required by its</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undertaking, property and liabilities in</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certificate of incorporation, approval is</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one of such companies as the surviving</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not  required  by  the  holders  of  the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company,  and  (2)  a  “consolidation”</w:t>
            </w:r>
          </w:p>
        </w:tc>
        <w:tc>
          <w:tcPr>
            <w:tcW w:w="2560" w:type="dxa"/>
            <w:vAlign w:val="bottom"/>
            <w:gridSpan w:val="12"/>
          </w:tcPr>
          <w:p>
            <w:pPr>
              <w:ind w:left="160"/>
              <w:spacing w:after="0" w:line="155" w:lineRule="exact"/>
              <w:rPr>
                <w:sz w:val="20"/>
                <w:szCs w:val="20"/>
                <w:color w:val="auto"/>
              </w:rPr>
            </w:pPr>
            <w:r>
              <w:rPr>
                <w:rFonts w:ascii="Times New Roman" w:cs="Times New Roman" w:eastAsia="Times New Roman" w:hAnsi="Times New Roman"/>
                <w:sz w:val="14"/>
                <w:szCs w:val="14"/>
                <w:color w:val="auto"/>
              </w:rPr>
              <w:t>outstanding  stock  of  a  constituent</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means the combination of two or more</w:t>
            </w:r>
          </w:p>
        </w:tc>
        <w:tc>
          <w:tcPr>
            <w:tcW w:w="23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corporation surviving a merger if:</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4"/>
                <w:szCs w:val="14"/>
                <w:color w:val="auto"/>
              </w:rPr>
              <w:t>constituent</w:t>
            </w:r>
          </w:p>
        </w:tc>
        <w:tc>
          <w:tcPr>
            <w:tcW w:w="102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companies</w:t>
            </w:r>
          </w:p>
        </w:tc>
        <w:tc>
          <w:tcPr>
            <w:tcW w:w="4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into</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a</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10"/>
            <w:vMerge w:val="restart"/>
          </w:tcPr>
          <w:p>
            <w:pPr>
              <w:ind w:left="40"/>
              <w:spacing w:after="0"/>
              <w:rPr>
                <w:sz w:val="20"/>
                <w:szCs w:val="20"/>
                <w:color w:val="auto"/>
              </w:rPr>
            </w:pPr>
            <w:r>
              <w:rPr>
                <w:rFonts w:ascii="Times New Roman" w:cs="Times New Roman" w:eastAsia="Times New Roman" w:hAnsi="Times New Roman"/>
                <w:sz w:val="14"/>
                <w:szCs w:val="14"/>
                <w:color w:val="auto"/>
              </w:rPr>
              <w:t>the merger agreement does not amend</w:t>
            </w:r>
          </w:p>
        </w:tc>
        <w:tc>
          <w:tcPr>
            <w:tcW w:w="0" w:type="dxa"/>
            <w:vAlign w:val="bottom"/>
          </w:tcPr>
          <w:p>
            <w:pPr>
              <w:spacing w:after="0"/>
              <w:rPr>
                <w:sz w:val="1"/>
                <w:szCs w:val="1"/>
                <w:color w:val="auto"/>
              </w:rPr>
            </w:pPr>
          </w:p>
        </w:tc>
      </w:tr>
      <w:tr>
        <w:trPr>
          <w:trHeight w:val="103"/>
        </w:trPr>
        <w:tc>
          <w:tcPr>
            <w:tcW w:w="900" w:type="dxa"/>
            <w:vAlign w:val="bottom"/>
            <w:gridSpan w:val="4"/>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640" w:type="dxa"/>
            <w:vAlign w:val="bottom"/>
            <w:gridSpan w:val="2"/>
            <w:vMerge w:val="restart"/>
          </w:tcPr>
          <w:p>
            <w:pPr>
              <w:ind w:left="60"/>
              <w:spacing w:after="0" w:line="155" w:lineRule="exact"/>
              <w:rPr>
                <w:sz w:val="20"/>
                <w:szCs w:val="20"/>
                <w:color w:val="auto"/>
              </w:rPr>
            </w:pPr>
            <w:r>
              <w:rPr>
                <w:rFonts w:ascii="Times New Roman" w:cs="Times New Roman" w:eastAsia="Times New Roman" w:hAnsi="Times New Roman"/>
                <w:sz w:val="14"/>
                <w:szCs w:val="14"/>
                <w:color w:val="auto"/>
              </w:rPr>
              <w:t>company</w:t>
            </w:r>
          </w:p>
        </w:tc>
        <w:tc>
          <w:tcPr>
            <w:tcW w:w="52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and the</w:t>
            </w:r>
          </w:p>
        </w:tc>
        <w:tc>
          <w:tcPr>
            <w:tcW w:w="46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vesting</w:t>
            </w:r>
          </w:p>
        </w:tc>
        <w:tc>
          <w:tcPr>
            <w:tcW w:w="260" w:type="dxa"/>
            <w:vAlign w:val="bottom"/>
            <w:gridSpan w:val="2"/>
            <w:vMerge w:val="continue"/>
          </w:tcPr>
          <w:p>
            <w:pPr>
              <w:spacing w:after="0"/>
              <w:rPr>
                <w:sz w:val="8"/>
                <w:szCs w:val="8"/>
                <w:color w:val="auto"/>
              </w:rPr>
            </w:pPr>
          </w:p>
        </w:tc>
        <w:tc>
          <w:tcPr>
            <w:tcW w:w="23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900" w:type="dxa"/>
            <w:vAlign w:val="bottom"/>
            <w:gridSpan w:val="4"/>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4"/>
                <w:szCs w:val="14"/>
                <w:color w:val="auto"/>
              </w:rPr>
              <w:t>in  any</w:t>
            </w:r>
          </w:p>
        </w:tc>
        <w:tc>
          <w:tcPr>
            <w:tcW w:w="52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respect</w:t>
            </w:r>
          </w:p>
        </w:tc>
        <w:tc>
          <w:tcPr>
            <w:tcW w:w="200" w:type="dxa"/>
            <w:vAlign w:val="bottom"/>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its</w:t>
            </w:r>
          </w:p>
        </w:tc>
        <w:tc>
          <w:tcPr>
            <w:tcW w:w="740" w:type="dxa"/>
            <w:vAlign w:val="bottom"/>
            <w:gridSpan w:val="3"/>
            <w:vMerge w:val="restart"/>
          </w:tcPr>
          <w:p>
            <w:pPr>
              <w:ind w:left="100"/>
              <w:spacing w:after="0" w:line="155" w:lineRule="exact"/>
              <w:rPr>
                <w:sz w:val="20"/>
                <w:szCs w:val="20"/>
                <w:color w:val="auto"/>
              </w:rPr>
            </w:pPr>
            <w:r>
              <w:rPr>
                <w:rFonts w:ascii="Times New Roman" w:cs="Times New Roman" w:eastAsia="Times New Roman" w:hAnsi="Times New Roman"/>
                <w:sz w:val="14"/>
                <w:szCs w:val="14"/>
                <w:color w:val="auto"/>
              </w:rPr>
              <w:t>certificate</w:t>
            </w:r>
          </w:p>
        </w:tc>
        <w:tc>
          <w:tcPr>
            <w:tcW w:w="2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03"/>
        </w:trPr>
        <w:tc>
          <w:tcPr>
            <w:tcW w:w="2520" w:type="dxa"/>
            <w:vAlign w:val="bottom"/>
            <w:gridSpan w:val="10"/>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of  the  undertaking,  property  and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5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incorporation;</w:t>
            </w: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liabilities  of  such  companies  to  the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consolidated company. In order to effect</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each</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share of</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0"/>
              </w:rPr>
              <w:t>its</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94"/>
              </w:rPr>
              <w:t>stock</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outstanding</w:t>
            </w:r>
          </w:p>
        </w:tc>
        <w:tc>
          <w:tcPr>
            <w:tcW w:w="0" w:type="dxa"/>
            <w:vAlign w:val="bottom"/>
          </w:tcPr>
          <w:p>
            <w:pPr>
              <w:spacing w:after="0"/>
              <w:rPr>
                <w:sz w:val="1"/>
                <w:szCs w:val="1"/>
                <w:color w:val="auto"/>
              </w:rPr>
            </w:pPr>
          </w:p>
        </w:tc>
      </w:tr>
      <w:tr>
        <w:trPr>
          <w:trHeight w:val="52"/>
        </w:trPr>
        <w:tc>
          <w:tcPr>
            <w:tcW w:w="460" w:type="dxa"/>
            <w:vAlign w:val="bottom"/>
            <w:gridSpan w:val="2"/>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such</w:t>
            </w:r>
          </w:p>
        </w:tc>
        <w:tc>
          <w:tcPr>
            <w:tcW w:w="22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4"/>
                <w:szCs w:val="14"/>
                <w:color w:val="auto"/>
              </w:rPr>
              <w:t>a</w:t>
            </w:r>
          </w:p>
        </w:tc>
        <w:tc>
          <w:tcPr>
            <w:tcW w:w="52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merger</w:t>
            </w:r>
          </w:p>
        </w:tc>
        <w:tc>
          <w:tcPr>
            <w:tcW w:w="1120" w:type="dxa"/>
            <w:vAlign w:val="bottom"/>
            <w:gridSpan w:val="4"/>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or  consolidation,</w:t>
            </w:r>
          </w:p>
        </w:tc>
        <w:tc>
          <w:tcPr>
            <w:tcW w:w="200" w:type="dxa"/>
            <w:vAlign w:val="bottom"/>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the</w:t>
            </w:r>
          </w:p>
        </w:tc>
        <w:tc>
          <w:tcPr>
            <w:tcW w:w="260" w:type="dxa"/>
            <w:vAlign w:val="bottom"/>
            <w:gridSpan w:val="2"/>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46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restart"/>
          </w:tcPr>
          <w:p>
            <w:pPr>
              <w:ind w:left="40"/>
              <w:spacing w:after="0" w:line="155" w:lineRule="exact"/>
              <w:rPr>
                <w:sz w:val="20"/>
                <w:szCs w:val="20"/>
                <w:color w:val="auto"/>
              </w:rPr>
            </w:pPr>
            <w:r>
              <w:rPr>
                <w:rFonts w:ascii="Times New Roman" w:cs="Times New Roman" w:eastAsia="Times New Roman" w:hAnsi="Times New Roman"/>
                <w:sz w:val="14"/>
                <w:szCs w:val="14"/>
                <w:color w:val="auto"/>
              </w:rPr>
              <w:t>prior</w:t>
            </w:r>
          </w:p>
        </w:tc>
        <w:tc>
          <w:tcPr>
            <w:tcW w:w="2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to</w:t>
            </w:r>
          </w:p>
        </w:tc>
        <w:tc>
          <w:tcPr>
            <w:tcW w:w="36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the</w:t>
            </w:r>
          </w:p>
        </w:tc>
        <w:tc>
          <w:tcPr>
            <w:tcW w:w="540" w:type="dxa"/>
            <w:vAlign w:val="bottom"/>
            <w:gridSpan w:val="3"/>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merger</w:t>
            </w:r>
          </w:p>
        </w:tc>
        <w:tc>
          <w:tcPr>
            <w:tcW w:w="24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will</w:t>
            </w:r>
          </w:p>
        </w:tc>
        <w:tc>
          <w:tcPr>
            <w:tcW w:w="3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w w:val="90"/>
              </w:rPr>
              <w:t>be</w:t>
            </w:r>
          </w:p>
        </w:tc>
        <w:tc>
          <w:tcPr>
            <w:tcW w:w="2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an</w:t>
            </w:r>
          </w:p>
        </w:tc>
        <w:tc>
          <w:tcPr>
            <w:tcW w:w="0" w:type="dxa"/>
            <w:vAlign w:val="bottom"/>
          </w:tcPr>
          <w:p>
            <w:pPr>
              <w:spacing w:after="0"/>
              <w:rPr>
                <w:sz w:val="1"/>
                <w:szCs w:val="1"/>
                <w:color w:val="auto"/>
              </w:rPr>
            </w:pPr>
          </w:p>
        </w:tc>
      </w:tr>
      <w:tr>
        <w:trPr>
          <w:trHeight w:val="52"/>
        </w:trPr>
        <w:tc>
          <w:tcPr>
            <w:tcW w:w="680" w:type="dxa"/>
            <w:vAlign w:val="bottom"/>
            <w:gridSpan w:val="3"/>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directors</w:t>
            </w:r>
          </w:p>
        </w:tc>
        <w:tc>
          <w:tcPr>
            <w:tcW w:w="22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1020" w:type="dxa"/>
            <w:vAlign w:val="bottom"/>
            <w:gridSpan w:val="3"/>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each constituent</w:t>
            </w:r>
          </w:p>
        </w:tc>
        <w:tc>
          <w:tcPr>
            <w:tcW w:w="600" w:type="dxa"/>
            <w:vAlign w:val="bottom"/>
            <w:gridSpan w:val="3"/>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company</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680" w:type="dxa"/>
            <w:vAlign w:val="bottom"/>
            <w:gridSpan w:val="3"/>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10"/>
            <w:vMerge w:val="restart"/>
          </w:tcPr>
          <w:p>
            <w:pPr>
              <w:ind w:left="40"/>
              <w:spacing w:after="0" w:line="155" w:lineRule="exact"/>
              <w:rPr>
                <w:sz w:val="20"/>
                <w:szCs w:val="20"/>
                <w:color w:val="auto"/>
              </w:rPr>
            </w:pPr>
            <w:r>
              <w:rPr>
                <w:rFonts w:ascii="Times New Roman" w:cs="Times New Roman" w:eastAsia="Times New Roman" w:hAnsi="Times New Roman"/>
                <w:sz w:val="14"/>
                <w:szCs w:val="14"/>
                <w:color w:val="auto"/>
              </w:rPr>
              <w:t>identical share of stock following the</w:t>
            </w:r>
          </w:p>
        </w:tc>
        <w:tc>
          <w:tcPr>
            <w:tcW w:w="0" w:type="dxa"/>
            <w:vAlign w:val="bottom"/>
          </w:tcPr>
          <w:p>
            <w:pPr>
              <w:spacing w:after="0"/>
              <w:rPr>
                <w:sz w:val="1"/>
                <w:szCs w:val="1"/>
                <w:color w:val="auto"/>
              </w:rPr>
            </w:pPr>
          </w:p>
        </w:tc>
      </w:tr>
      <w:tr>
        <w:trPr>
          <w:trHeight w:val="52"/>
        </w:trPr>
        <w:tc>
          <w:tcPr>
            <w:tcW w:w="2520" w:type="dxa"/>
            <w:vAlign w:val="bottom"/>
            <w:gridSpan w:val="10"/>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must approve a written plan of merger</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2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merger; and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gridSpan w:val="10"/>
            <w:vMerge w:val="restart"/>
          </w:tcPr>
          <w:p>
            <w:pPr>
              <w:ind w:left="160"/>
              <w:spacing w:after="0"/>
              <w:rPr>
                <w:sz w:val="20"/>
                <w:szCs w:val="20"/>
                <w:color w:val="auto"/>
              </w:rPr>
            </w:pPr>
            <w:r>
              <w:rPr>
                <w:rFonts w:ascii="Times New Roman" w:cs="Times New Roman" w:eastAsia="Times New Roman" w:hAnsi="Times New Roman"/>
                <w:sz w:val="14"/>
                <w:szCs w:val="14"/>
                <w:color w:val="auto"/>
              </w:rPr>
              <w:t>or consolidation, which must then be</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520" w:type="dxa"/>
            <w:vAlign w:val="bottom"/>
            <w:gridSpan w:val="10"/>
            <w:vMerge w:val="continue"/>
          </w:tcPr>
          <w:p>
            <w:pPr>
              <w:spacing w:after="0"/>
              <w:rPr>
                <w:sz w:val="7"/>
                <w:szCs w:val="7"/>
                <w:color w:val="auto"/>
              </w:rPr>
            </w:pPr>
          </w:p>
        </w:tc>
        <w:tc>
          <w:tcPr>
            <w:tcW w:w="2560" w:type="dxa"/>
            <w:vAlign w:val="bottom"/>
            <w:gridSpan w:val="12"/>
            <w:vMerge w:val="restart"/>
          </w:tcPr>
          <w:p>
            <w:pPr>
              <w:ind w:left="160"/>
              <w:spacing w:after="0"/>
              <w:rPr>
                <w:sz w:val="20"/>
                <w:szCs w:val="20"/>
                <w:color w:val="auto"/>
              </w:rPr>
            </w:pPr>
            <w:r>
              <w:rPr>
                <w:rFonts w:ascii="Times New Roman" w:cs="Times New Roman" w:eastAsia="Times New Roman" w:hAnsi="Times New Roman"/>
                <w:sz w:val="14"/>
                <w:szCs w:val="14"/>
                <w:color w:val="auto"/>
              </w:rPr>
              <w:t>• either  no  shares  of  the  surviving</w:t>
            </w:r>
          </w:p>
        </w:tc>
        <w:tc>
          <w:tcPr>
            <w:tcW w:w="0" w:type="dxa"/>
            <w:vAlign w:val="bottom"/>
          </w:tcPr>
          <w:p>
            <w:pPr>
              <w:spacing w:after="0"/>
              <w:rPr>
                <w:sz w:val="1"/>
                <w:szCs w:val="1"/>
                <w:color w:val="auto"/>
              </w:rPr>
            </w:pPr>
          </w:p>
        </w:tc>
      </w:tr>
      <w:tr>
        <w:trPr>
          <w:trHeight w:val="145"/>
        </w:trPr>
        <w:tc>
          <w:tcPr>
            <w:tcW w:w="252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authorized by (a) a special resolution of</w:t>
            </w:r>
          </w:p>
        </w:tc>
        <w:tc>
          <w:tcPr>
            <w:tcW w:w="256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shareholders  of  each  constituent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corporation’s common stock and no</w:t>
            </w:r>
          </w:p>
        </w:tc>
        <w:tc>
          <w:tcPr>
            <w:tcW w:w="0" w:type="dxa"/>
            <w:vAlign w:val="bottom"/>
          </w:tcPr>
          <w:p>
            <w:pPr>
              <w:spacing w:after="0"/>
              <w:rPr>
                <w:sz w:val="1"/>
                <w:szCs w:val="1"/>
                <w:color w:val="auto"/>
              </w:rPr>
            </w:pPr>
          </w:p>
        </w:tc>
      </w:tr>
      <w:tr>
        <w:trPr>
          <w:trHeight w:val="155"/>
        </w:trPr>
        <w:tc>
          <w:tcPr>
            <w:tcW w:w="90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company,</w:t>
            </w:r>
          </w:p>
        </w:tc>
        <w:tc>
          <w:tcPr>
            <w:tcW w:w="3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and</w:t>
            </w:r>
          </w:p>
        </w:tc>
        <w:tc>
          <w:tcPr>
            <w:tcW w:w="340" w:type="dxa"/>
            <w:vAlign w:val="bottom"/>
          </w:tcPr>
          <w:p>
            <w:pPr>
              <w:jc w:val="center"/>
              <w:ind w:left="51"/>
              <w:spacing w:after="0" w:line="155" w:lineRule="exact"/>
              <w:rPr>
                <w:sz w:val="20"/>
                <w:szCs w:val="20"/>
                <w:color w:val="auto"/>
              </w:rPr>
            </w:pPr>
            <w:r>
              <w:rPr>
                <w:rFonts w:ascii="Times New Roman" w:cs="Times New Roman" w:eastAsia="Times New Roman" w:hAnsi="Times New Roman"/>
                <w:sz w:val="14"/>
                <w:szCs w:val="14"/>
                <w:color w:val="auto"/>
              </w:rPr>
              <w:t>(b)</w:t>
            </w:r>
          </w:p>
        </w:tc>
        <w:tc>
          <w:tcPr>
            <w:tcW w:w="5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color w:val="auto"/>
              </w:rPr>
              <w:t>such</w:t>
            </w: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3"/>
          </w:tcPr>
          <w:p>
            <w:pPr>
              <w:jc w:val="right"/>
              <w:ind w:right="111"/>
              <w:spacing w:after="0" w:line="155" w:lineRule="exact"/>
              <w:rPr>
                <w:sz w:val="20"/>
                <w:szCs w:val="20"/>
                <w:color w:val="auto"/>
              </w:rPr>
            </w:pPr>
            <w:r>
              <w:rPr>
                <w:rFonts w:ascii="Times New Roman" w:cs="Times New Roman" w:eastAsia="Times New Roman" w:hAnsi="Times New Roman"/>
                <w:sz w:val="14"/>
                <w:szCs w:val="14"/>
                <w:color w:val="auto"/>
                <w:w w:val="98"/>
              </w:rPr>
              <w:t>securities</w:t>
            </w:r>
          </w:p>
        </w:tc>
        <w:tc>
          <w:tcPr>
            <w:tcW w:w="1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or</w:t>
            </w:r>
          </w:p>
        </w:tc>
        <w:tc>
          <w:tcPr>
            <w:tcW w:w="8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obligations</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authorization,  if  any,  as  may  be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convertible into such stock will be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specified in such constituent company’s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issued or delivered pursuant to the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articles of association. The written plan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merger,  or  the  authorized  unissued</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of merger or consolidation must be filed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shares  or  treasury  shares  of  the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with the Registrar of Companies of the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surviving</w:t>
            </w:r>
          </w:p>
        </w:tc>
        <w:tc>
          <w:tcPr>
            <w:tcW w:w="1140" w:type="dxa"/>
            <w:vAlign w:val="bottom"/>
            <w:gridSpan w:val="5"/>
          </w:tcPr>
          <w:p>
            <w:pPr>
              <w:ind w:left="180"/>
              <w:spacing w:after="0" w:line="155" w:lineRule="exact"/>
              <w:rPr>
                <w:sz w:val="20"/>
                <w:szCs w:val="20"/>
                <w:color w:val="auto"/>
              </w:rPr>
            </w:pPr>
            <w:r>
              <w:rPr>
                <w:rFonts w:ascii="Times New Roman" w:cs="Times New Roman" w:eastAsia="Times New Roman" w:hAnsi="Times New Roman"/>
                <w:sz w:val="14"/>
                <w:szCs w:val="14"/>
                <w:color w:val="auto"/>
              </w:rPr>
              <w:t>corporation’s</w:t>
            </w:r>
          </w:p>
        </w:tc>
        <w:tc>
          <w:tcPr>
            <w:tcW w:w="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common</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Cayman   Islands   together   with   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stock  to  be  issued  or  delivered</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declaration as to the solvency of the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pursuant  to  the  merger  plus  those</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surviving or consolidated company, 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initially issuable upon conversion of</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declaration  as  to  the  assets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any   other   shares,   securities   or</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liabilities of each constituent company,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obligations to be issued or delivered</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and an undertaking that a copy of the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pursuant to the merger do not exceed</w:t>
            </w:r>
          </w:p>
        </w:tc>
        <w:tc>
          <w:tcPr>
            <w:tcW w:w="0" w:type="dxa"/>
            <w:vAlign w:val="bottom"/>
          </w:tcPr>
          <w:p>
            <w:pPr>
              <w:spacing w:after="0"/>
              <w:rPr>
                <w:sz w:val="1"/>
                <w:szCs w:val="1"/>
                <w:color w:val="auto"/>
              </w:rPr>
            </w:pPr>
          </w:p>
        </w:tc>
      </w:tr>
      <w:tr>
        <w:trPr>
          <w:trHeight w:val="165"/>
        </w:trPr>
        <w:tc>
          <w:tcPr>
            <w:tcW w:w="2520" w:type="dxa"/>
            <w:vAlign w:val="bottom"/>
            <w:gridSpan w:val="10"/>
          </w:tcPr>
          <w:p>
            <w:pPr>
              <w:ind w:left="160"/>
              <w:spacing w:after="0"/>
              <w:rPr>
                <w:sz w:val="20"/>
                <w:szCs w:val="20"/>
                <w:color w:val="auto"/>
              </w:rPr>
            </w:pPr>
            <w:r>
              <w:rPr>
                <w:rFonts w:ascii="Times New Roman" w:cs="Times New Roman" w:eastAsia="Times New Roman" w:hAnsi="Times New Roman"/>
                <w:sz w:val="14"/>
                <w:szCs w:val="14"/>
                <w:color w:val="auto"/>
              </w:rPr>
              <w:t>certificate of merger or consolidation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ind w:left="40"/>
              <w:spacing w:after="0"/>
              <w:rPr>
                <w:sz w:val="20"/>
                <w:szCs w:val="20"/>
                <w:color w:val="auto"/>
              </w:rPr>
            </w:pPr>
            <w:r>
              <w:rPr>
                <w:rFonts w:ascii="Times New Roman" w:cs="Times New Roman" w:eastAsia="Times New Roman" w:hAnsi="Times New Roman"/>
                <w:sz w:val="14"/>
                <w:szCs w:val="14"/>
                <w:color w:val="auto"/>
              </w:rPr>
              <w:t>20% of the shares of the surviving</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will  be  given  to  the  members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color w:val="auto"/>
              </w:rPr>
              <w:t>corporation’s</w:t>
            </w:r>
          </w:p>
        </w:tc>
        <w:tc>
          <w:tcPr>
            <w:tcW w:w="160" w:type="dxa"/>
            <w:vAlign w:val="bottom"/>
          </w:tcPr>
          <w:p>
            <w:pPr>
              <w:spacing w:after="0"/>
              <w:rPr>
                <w:sz w:val="13"/>
                <w:szCs w:val="13"/>
                <w:color w:val="auto"/>
              </w:rPr>
            </w:pPr>
          </w:p>
        </w:tc>
        <w:tc>
          <w:tcPr>
            <w:tcW w:w="620" w:type="dxa"/>
            <w:vAlign w:val="bottom"/>
            <w:gridSpan w:val="3"/>
          </w:tcPr>
          <w:p>
            <w:pPr>
              <w:jc w:val="center"/>
              <w:ind w:right="51"/>
              <w:spacing w:after="0" w:line="155" w:lineRule="exact"/>
              <w:rPr>
                <w:sz w:val="20"/>
                <w:szCs w:val="20"/>
                <w:color w:val="auto"/>
              </w:rPr>
            </w:pPr>
            <w:r>
              <w:rPr>
                <w:rFonts w:ascii="Times New Roman" w:cs="Times New Roman" w:eastAsia="Times New Roman" w:hAnsi="Times New Roman"/>
                <w:sz w:val="14"/>
                <w:szCs w:val="14"/>
                <w:color w:val="auto"/>
              </w:rPr>
              <w:t>common</w:t>
            </w:r>
          </w:p>
        </w:tc>
        <w:tc>
          <w:tcPr>
            <w:tcW w:w="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155"/>
        </w:trPr>
        <w:tc>
          <w:tcPr>
            <w:tcW w:w="2520" w:type="dxa"/>
            <w:vAlign w:val="bottom"/>
            <w:gridSpan w:val="10"/>
          </w:tcPr>
          <w:p>
            <w:pPr>
              <w:ind w:left="160"/>
              <w:spacing w:after="0" w:line="155" w:lineRule="exact"/>
              <w:rPr>
                <w:sz w:val="20"/>
                <w:szCs w:val="20"/>
                <w:color w:val="auto"/>
              </w:rPr>
            </w:pPr>
            <w:r>
              <w:rPr>
                <w:rFonts w:ascii="Times New Roman" w:cs="Times New Roman" w:eastAsia="Times New Roman" w:hAnsi="Times New Roman"/>
                <w:sz w:val="14"/>
                <w:szCs w:val="14"/>
                <w:color w:val="auto"/>
              </w:rPr>
              <w:t>creditors of each constituent company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10"/>
          </w:tcPr>
          <w:p>
            <w:pPr>
              <w:ind w:left="40"/>
              <w:spacing w:after="0" w:line="155" w:lineRule="exact"/>
              <w:rPr>
                <w:sz w:val="20"/>
                <w:szCs w:val="20"/>
                <w:color w:val="auto"/>
              </w:rPr>
            </w:pPr>
            <w:r>
              <w:rPr>
                <w:rFonts w:ascii="Times New Roman" w:cs="Times New Roman" w:eastAsia="Times New Roman" w:hAnsi="Times New Roman"/>
                <w:sz w:val="14"/>
                <w:szCs w:val="14"/>
                <w:color w:val="auto"/>
              </w:rPr>
              <w:t>outstanding immediately prior to the</w:t>
            </w:r>
          </w:p>
        </w:tc>
        <w:tc>
          <w:tcPr>
            <w:tcW w:w="0" w:type="dxa"/>
            <w:vAlign w:val="bottom"/>
          </w:tcPr>
          <w:p>
            <w:pPr>
              <w:spacing w:after="0"/>
              <w:rPr>
                <w:sz w:val="1"/>
                <w:szCs w:val="1"/>
                <w:color w:val="auto"/>
              </w:rPr>
            </w:pPr>
          </w:p>
        </w:tc>
      </w:tr>
      <w:tr>
        <w:trPr>
          <w:trHeight w:val="189"/>
        </w:trPr>
        <w:tc>
          <w:tcPr>
            <w:tcW w:w="2320" w:type="dxa"/>
            <w:vAlign w:val="bottom"/>
            <w:gridSpan w:val="9"/>
          </w:tcPr>
          <w:p>
            <w:pPr>
              <w:ind w:left="160"/>
              <w:spacing w:after="0"/>
              <w:rPr>
                <w:sz w:val="20"/>
                <w:szCs w:val="20"/>
                <w:color w:val="auto"/>
              </w:rPr>
            </w:pPr>
            <w:r>
              <w:rPr>
                <w:rFonts w:ascii="Times New Roman" w:cs="Times New Roman" w:eastAsia="Times New Roman" w:hAnsi="Times New Roman"/>
                <w:sz w:val="14"/>
                <w:szCs w:val="14"/>
                <w:color w:val="auto"/>
              </w:rPr>
              <w:t>and that notification of the merger or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effective date of the merger.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500" w:space="100"/>
            <w:col w:w="6419"/>
          </w:cols>
          <w:pgMar w:left="1440" w:top="104" w:right="1440" w:bottom="1440" w:gutter="0" w:footer="0" w:header="0"/>
          <w:type w:val="continuous"/>
        </w:sectPr>
      </w:pP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1" w:name="page32"/>
    <w:bookmarkEnd w:id="3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64"/>
        </w:trPr>
        <w:tc>
          <w:tcPr>
            <w:tcW w:w="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 ​</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Cayman Islands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8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3"/>
        </w:trPr>
        <w:tc>
          <w:tcPr>
            <w:tcW w:w="3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3"/>
                <w:szCs w:val="13"/>
                <w:color w:val="auto"/>
              </w:rPr>
            </w:pPr>
          </w:p>
        </w:tc>
        <w:tc>
          <w:tcPr>
            <w:tcW w:w="46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2360" w:type="dxa"/>
            <w:vAlign w:val="bottom"/>
            <w:tcBorders>
              <w:top w:val="single" w:sz="8" w:color="auto"/>
            </w:tcBorders>
            <w:gridSpan w:val="6"/>
          </w:tcPr>
          <w:p>
            <w:pPr>
              <w:spacing w:after="0" w:line="153" w:lineRule="exact"/>
              <w:rPr>
                <w:sz w:val="20"/>
                <w:szCs w:val="20"/>
                <w:color w:val="auto"/>
              </w:rPr>
            </w:pPr>
            <w:r>
              <w:rPr>
                <w:rFonts w:ascii="Times New Roman" w:cs="Times New Roman" w:eastAsia="Times New Roman" w:hAnsi="Times New Roman"/>
                <w:sz w:val="14"/>
                <w:szCs w:val="14"/>
                <w:color w:val="auto"/>
              </w:rPr>
              <w:t>consolidation will be published in the</w:t>
            </w: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Cayman Islands Gazette. Court approval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gridSpan w:val="7"/>
          </w:tcPr>
          <w:p>
            <w:pPr>
              <w:ind w:left="460"/>
              <w:spacing w:after="0"/>
              <w:rPr>
                <w:sz w:val="20"/>
                <w:szCs w:val="20"/>
                <w:color w:val="auto"/>
              </w:rPr>
            </w:pPr>
            <w:r>
              <w:rPr>
                <w:rFonts w:ascii="Times New Roman" w:cs="Times New Roman" w:eastAsia="Times New Roman" w:hAnsi="Times New Roman"/>
                <w:sz w:val="14"/>
                <w:szCs w:val="14"/>
                <w:color w:val="auto"/>
              </w:rPr>
              <w:t>is  not  required  for  a  merger  or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consolidation  which  is  effected  in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auto"/>
              </w:rPr>
              <w:t>compliance</w:t>
            </w:r>
          </w:p>
        </w:tc>
        <w:tc>
          <w:tcPr>
            <w:tcW w:w="5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with</w:t>
            </w:r>
          </w:p>
        </w:tc>
        <w:tc>
          <w:tcPr>
            <w:tcW w:w="48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color w:val="auto"/>
              </w:rPr>
              <w:t>these</w:t>
            </w:r>
          </w:p>
        </w:tc>
        <w:tc>
          <w:tcPr>
            <w:tcW w:w="6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statutory</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procedures.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6"/>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 A  merger</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between</w:t>
            </w:r>
          </w:p>
        </w:tc>
        <w:tc>
          <w:tcPr>
            <w:tcW w:w="368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a  Cayman  parent​ ​ Mergers in which one corporation owns​</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company and its Cayman subsidiary or</w:t>
            </w:r>
          </w:p>
        </w:tc>
        <w:tc>
          <w:tcPr>
            <w:tcW w:w="2560" w:type="dxa"/>
            <w:vAlign w:val="bottom"/>
            <w:gridSpan w:val="5"/>
          </w:tcPr>
          <w:p>
            <w:pPr>
              <w:ind w:left="160"/>
              <w:spacing w:after="0" w:line="155" w:lineRule="exact"/>
              <w:rPr>
                <w:sz w:val="20"/>
                <w:szCs w:val="20"/>
                <w:color w:val="auto"/>
              </w:rPr>
            </w:pPr>
            <w:r>
              <w:rPr>
                <w:rFonts w:ascii="Times New Roman" w:cs="Times New Roman" w:eastAsia="Times New Roman" w:hAnsi="Times New Roman"/>
                <w:sz w:val="14"/>
                <w:szCs w:val="14"/>
                <w:color w:val="auto"/>
              </w:rPr>
              <w:t>90% or more of a second corporation</w:t>
            </w:r>
          </w:p>
        </w:tc>
      </w:tr>
      <w:tr>
        <w:trPr>
          <w:trHeight w:val="165"/>
        </w:trPr>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99"/>
              </w:rPr>
              <w:t>subsidiaries</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does</w:t>
            </w: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require</w:t>
            </w: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may be completed without the vote of</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authorization   by   a   resolution   of</w:t>
            </w:r>
          </w:p>
        </w:tc>
        <w:tc>
          <w:tcPr>
            <w:tcW w:w="2560" w:type="dxa"/>
            <w:vAlign w:val="bottom"/>
            <w:gridSpan w:val="5"/>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second  corporation’s  board  of</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shareholders of that Cayman subsidiary</w:t>
            </w:r>
          </w:p>
        </w:tc>
        <w:tc>
          <w:tcPr>
            <w:tcW w:w="1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directors or stockholders.</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if a copy of the plan of merger is given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to  every  member  of  that  Cayman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subsidiary  to  be  merged  unless  that</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gridSpan w:val="3"/>
          </w:tcPr>
          <w:p>
            <w:pPr>
              <w:ind w:left="460"/>
              <w:spacing w:after="0" w:line="155" w:lineRule="exact"/>
              <w:rPr>
                <w:sz w:val="20"/>
                <w:szCs w:val="20"/>
                <w:color w:val="auto"/>
              </w:rPr>
            </w:pPr>
            <w:r>
              <w:rPr>
                <w:rFonts w:ascii="Times New Roman" w:cs="Times New Roman" w:eastAsia="Times New Roman" w:hAnsi="Times New Roman"/>
                <w:sz w:val="14"/>
                <w:szCs w:val="14"/>
                <w:color w:val="auto"/>
              </w:rPr>
              <w:t>member  agrees</w:t>
            </w:r>
          </w:p>
        </w:tc>
        <w:tc>
          <w:tcPr>
            <w:tcW w:w="7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color w:val="auto"/>
              </w:rPr>
              <w:t>otherwise.</w:t>
            </w:r>
          </w:p>
        </w:tc>
        <w:tc>
          <w:tcPr>
            <w:tcW w:w="3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color w:val="auto"/>
              </w:rPr>
              <w:t>For</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this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purpose, a company is a “parent” of a</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subsidiary if it holds issued shares that</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together represent at least 90% of the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votes  at  a  general  meeting  of  the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9"/>
        </w:trPr>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subsidiary.</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4"/>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20" w:type="dxa"/>
            <w:vAlign w:val="bottom"/>
            <w:gridSpan w:val="7"/>
          </w:tcPr>
          <w:p>
            <w:pPr>
              <w:ind w:left="460"/>
              <w:spacing w:after="0"/>
              <w:rPr>
                <w:sz w:val="20"/>
                <w:szCs w:val="20"/>
                <w:color w:val="auto"/>
              </w:rPr>
            </w:pPr>
            <w:r>
              <w:rPr>
                <w:rFonts w:ascii="Times New Roman" w:cs="Times New Roman" w:eastAsia="Times New Roman" w:hAnsi="Times New Roman"/>
                <w:sz w:val="14"/>
                <w:szCs w:val="14"/>
                <w:color w:val="auto"/>
              </w:rPr>
              <w:t>The consent of each holder of a fixed or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floating   security   interest   over   a</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constituent company is required unless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this requirement is waived by a court in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gridSpan w:val="4"/>
          </w:tcPr>
          <w:p>
            <w:pPr>
              <w:ind w:left="460"/>
              <w:spacing w:after="0" w:line="155" w:lineRule="exact"/>
              <w:rPr>
                <w:sz w:val="20"/>
                <w:szCs w:val="20"/>
                <w:color w:val="auto"/>
              </w:rPr>
            </w:pPr>
            <w:r>
              <w:rPr>
                <w:rFonts w:ascii="Times New Roman" w:cs="Times New Roman" w:eastAsia="Times New Roman" w:hAnsi="Times New Roman"/>
                <w:sz w:val="14"/>
                <w:szCs w:val="14"/>
                <w:color w:val="auto"/>
              </w:rPr>
              <w:t>the Cayman Islands.</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3740" w:type="dxa"/>
            <w:vAlign w:val="bottom"/>
            <w:gridSpan w:val="9"/>
          </w:tcPr>
          <w:p>
            <w:pPr>
              <w:ind w:left="300"/>
              <w:spacing w:after="0"/>
              <w:rPr>
                <w:sz w:val="20"/>
                <w:szCs w:val="20"/>
                <w:color w:val="auto"/>
              </w:rPr>
            </w:pPr>
            <w:r>
              <w:rPr>
                <w:rFonts w:ascii="Times New Roman" w:cs="Times New Roman" w:eastAsia="Times New Roman" w:hAnsi="Times New Roman"/>
                <w:sz w:val="14"/>
                <w:szCs w:val="14"/>
                <w:color w:val="auto"/>
              </w:rPr>
              <w:t>​ ​ Save in certain limited circumstances, a​ ​ Generally, a</w:t>
            </w: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of a publicly​</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shareholder  of  a  Cayman  constituent</w:t>
            </w:r>
          </w:p>
        </w:tc>
        <w:tc>
          <w:tcPr>
            <w:tcW w:w="2560" w:type="dxa"/>
            <w:vAlign w:val="bottom"/>
            <w:gridSpan w:val="5"/>
          </w:tcPr>
          <w:p>
            <w:pPr>
              <w:ind w:left="160"/>
              <w:spacing w:after="0" w:line="155" w:lineRule="exact"/>
              <w:rPr>
                <w:sz w:val="20"/>
                <w:szCs w:val="20"/>
                <w:color w:val="auto"/>
              </w:rPr>
            </w:pPr>
            <w:r>
              <w:rPr>
                <w:rFonts w:ascii="Times New Roman" w:cs="Times New Roman" w:eastAsia="Times New Roman" w:hAnsi="Times New Roman"/>
                <w:sz w:val="14"/>
                <w:szCs w:val="14"/>
                <w:color w:val="auto"/>
              </w:rPr>
              <w:t>traded  corporation  does  not  have</w:t>
            </w:r>
          </w:p>
        </w:tc>
      </w:tr>
      <w:tr>
        <w:trPr>
          <w:trHeight w:val="165"/>
        </w:trPr>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gridSpan w:val="7"/>
          </w:tcPr>
          <w:p>
            <w:pPr>
              <w:ind w:left="460"/>
              <w:spacing w:after="0"/>
              <w:rPr>
                <w:sz w:val="20"/>
                <w:szCs w:val="20"/>
                <w:color w:val="auto"/>
              </w:rPr>
            </w:pPr>
            <w:r>
              <w:rPr>
                <w:rFonts w:ascii="Times New Roman" w:cs="Times New Roman" w:eastAsia="Times New Roman" w:hAnsi="Times New Roman"/>
                <w:sz w:val="14"/>
                <w:szCs w:val="14"/>
                <w:color w:val="auto"/>
              </w:rPr>
              <w:t>company who dissents from the merger</w:t>
            </w: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appraisal rights in connection with a</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or consolidation is entitled to payment</w:t>
            </w:r>
          </w:p>
        </w:tc>
        <w:tc>
          <w:tcPr>
            <w:tcW w:w="9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merger.</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of the fair value of his shares (which, if</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not agreed between the parties, will be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determined  by  the  Cayman  Islands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gridSpan w:val="7"/>
          </w:tcPr>
          <w:p>
            <w:pPr>
              <w:ind w:left="460"/>
              <w:spacing w:after="0" w:line="155" w:lineRule="exact"/>
              <w:rPr>
                <w:sz w:val="20"/>
                <w:szCs w:val="20"/>
                <w:color w:val="auto"/>
              </w:rPr>
            </w:pPr>
            <w:r>
              <w:rPr>
                <w:rFonts w:ascii="Times New Roman" w:cs="Times New Roman" w:eastAsia="Times New Roman" w:hAnsi="Times New Roman"/>
                <w:sz w:val="14"/>
                <w:szCs w:val="14"/>
                <w:color w:val="auto"/>
              </w:rPr>
              <w:t>court) upon dissenting to the merger or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consolidation;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provided</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that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ind w:left="2760"/>
        <w:spacing w:after="0" w:line="231" w:lineRule="auto"/>
        <w:rPr>
          <w:sz w:val="20"/>
          <w:szCs w:val="20"/>
          <w:color w:val="auto"/>
        </w:rPr>
      </w:pPr>
      <w:r>
        <w:rPr>
          <w:rFonts w:ascii="Times New Roman" w:cs="Times New Roman" w:eastAsia="Times New Roman" w:hAnsi="Times New Roman"/>
          <w:sz w:val="14"/>
          <w:szCs w:val="14"/>
          <w:color w:val="auto"/>
        </w:rPr>
        <w:t>dissenting shareholder complies strictly</w:t>
      </w:r>
    </w:p>
    <w:p>
      <w:pPr>
        <w:ind w:left="2760"/>
        <w:spacing w:after="0" w:line="231" w:lineRule="auto"/>
        <w:tabs>
          <w:tab w:leader="none" w:pos="3100" w:val="left"/>
          <w:tab w:leader="none" w:pos="3380" w:val="left"/>
          <w:tab w:leader="none" w:pos="4140" w:val="left"/>
          <w:tab w:leader="none" w:pos="4400" w:val="left"/>
          <w:tab w:leader="none" w:pos="4700" w:val="left"/>
          <w:tab w:leader="none" w:pos="4920" w:val="left"/>
        </w:tabs>
        <w:rPr>
          <w:sz w:val="20"/>
          <w:szCs w:val="20"/>
          <w:color w:val="auto"/>
        </w:rPr>
      </w:pPr>
      <w:r>
        <w:rPr>
          <w:rFonts w:ascii="Times New Roman" w:cs="Times New Roman" w:eastAsia="Times New Roman" w:hAnsi="Times New Roman"/>
          <w:sz w:val="14"/>
          <w:szCs w:val="14"/>
          <w:color w:val="auto"/>
        </w:rPr>
        <w:t>with</w:t>
        <w:tab/>
        <w:t>the</w:t>
        <w:tab/>
        <w:t>procedures</w:t>
        <w:tab/>
        <w:t>set</w:t>
        <w:tab/>
        <w:t>out</w:t>
        <w:tab/>
        <w:t>in</w:t>
        <w:tab/>
        <w:t>the</w:t>
      </w:r>
    </w:p>
    <w:p>
      <w:pPr>
        <w:ind w:left="2760"/>
        <w:spacing w:after="0" w:line="231" w:lineRule="auto"/>
        <w:tabs>
          <w:tab w:leader="none" w:pos="3520" w:val="left"/>
          <w:tab w:leader="none" w:pos="3840" w:val="left"/>
          <w:tab w:leader="none" w:pos="4180" w:val="left"/>
          <w:tab w:leader="none" w:pos="4860" w:val="left"/>
        </w:tabs>
        <w:rPr>
          <w:sz w:val="20"/>
          <w:szCs w:val="20"/>
          <w:color w:val="auto"/>
        </w:rPr>
      </w:pPr>
      <w:r>
        <w:rPr>
          <w:rFonts w:ascii="Times New Roman" w:cs="Times New Roman" w:eastAsia="Times New Roman" w:hAnsi="Times New Roman"/>
          <w:sz w:val="14"/>
          <w:szCs w:val="14"/>
          <w:color w:val="auto"/>
        </w:rPr>
        <w:t>Companies</w:t>
        <w:tab/>
        <w:t>Act</w:t>
        <w:tab/>
        <w:t>(As</w:t>
        <w:tab/>
        <w:t>Revised).</w:t>
        <w:tab/>
        <w:t>The</w:t>
      </w:r>
    </w:p>
    <w:p>
      <w:pPr>
        <w:ind w:left="2760"/>
        <w:spacing w:after="0" w:line="232" w:lineRule="auto"/>
        <w:rPr>
          <w:sz w:val="20"/>
          <w:szCs w:val="20"/>
          <w:color w:val="auto"/>
        </w:rPr>
      </w:pPr>
      <w:r>
        <w:rPr>
          <w:rFonts w:ascii="Times New Roman" w:cs="Times New Roman" w:eastAsia="Times New Roman" w:hAnsi="Times New Roman"/>
          <w:sz w:val="14"/>
          <w:szCs w:val="14"/>
          <w:color w:val="auto"/>
        </w:rPr>
        <w:t>exercise of dissenter rights will preclude</w:t>
      </w:r>
    </w:p>
    <w:p>
      <w:pPr>
        <w:ind w:left="2760"/>
        <w:spacing w:after="0" w:line="231" w:lineRule="auto"/>
        <w:tabs>
          <w:tab w:leader="none" w:pos="3120" w:val="left"/>
          <w:tab w:leader="none" w:pos="3780" w:val="left"/>
          <w:tab w:leader="none" w:pos="4140" w:val="left"/>
          <w:tab w:leader="none" w:pos="4500" w:val="left"/>
        </w:tabs>
        <w:rPr>
          <w:sz w:val="20"/>
          <w:szCs w:val="20"/>
          <w:color w:val="auto"/>
        </w:rPr>
      </w:pPr>
      <w:r>
        <w:rPr>
          <w:rFonts w:ascii="Times New Roman" w:cs="Times New Roman" w:eastAsia="Times New Roman" w:hAnsi="Times New Roman"/>
          <w:sz w:val="14"/>
          <w:szCs w:val="14"/>
          <w:color w:val="auto"/>
        </w:rPr>
        <w:t>the</w:t>
        <w:tab/>
        <w:t>exercise</w:t>
        <w:tab/>
        <w:t>by</w:t>
      </w:r>
      <w:r>
        <w:rPr>
          <w:sz w:val="20"/>
          <w:szCs w:val="20"/>
          <w:color w:val="auto"/>
        </w:rPr>
        <w:tab/>
      </w:r>
      <w:r>
        <w:rPr>
          <w:rFonts w:ascii="Times New Roman" w:cs="Times New Roman" w:eastAsia="Times New Roman" w:hAnsi="Times New Roman"/>
          <w:sz w:val="14"/>
          <w:szCs w:val="14"/>
          <w:color w:val="auto"/>
        </w:rPr>
        <w:t>the</w:t>
        <w:tab/>
        <w:t>dissenting</w:t>
      </w:r>
    </w:p>
    <w:p>
      <w:pPr>
        <w:ind w:left="2760"/>
        <w:spacing w:after="0" w:line="231" w:lineRule="auto"/>
        <w:rPr>
          <w:sz w:val="20"/>
          <w:szCs w:val="20"/>
          <w:color w:val="auto"/>
        </w:rPr>
      </w:pPr>
      <w:r>
        <w:rPr>
          <w:rFonts w:ascii="Times New Roman" w:cs="Times New Roman" w:eastAsia="Times New Roman" w:hAnsi="Times New Roman"/>
          <w:sz w:val="14"/>
          <w:szCs w:val="14"/>
          <w:color w:val="auto"/>
        </w:rPr>
        <w:t>shareholder of any other rights to which</w:t>
      </w:r>
    </w:p>
    <w:p>
      <w:pPr>
        <w:ind w:left="2760"/>
        <w:spacing w:after="0" w:line="231" w:lineRule="auto"/>
        <w:rPr>
          <w:sz w:val="20"/>
          <w:szCs w:val="20"/>
          <w:color w:val="auto"/>
        </w:rPr>
      </w:pPr>
      <w:r>
        <w:rPr>
          <w:rFonts w:ascii="Times New Roman" w:cs="Times New Roman" w:eastAsia="Times New Roman" w:hAnsi="Times New Roman"/>
          <w:sz w:val="14"/>
          <w:szCs w:val="14"/>
          <w:color w:val="auto"/>
        </w:rPr>
        <w:t>he or she might otherwise be entitled by</w:t>
      </w:r>
    </w:p>
    <w:p>
      <w:pPr>
        <w:ind w:left="2760"/>
        <w:spacing w:after="0" w:line="232" w:lineRule="auto"/>
        <w:rPr>
          <w:sz w:val="20"/>
          <w:szCs w:val="20"/>
          <w:color w:val="auto"/>
        </w:rPr>
      </w:pPr>
      <w:r>
        <w:rPr>
          <w:rFonts w:ascii="Times New Roman" w:cs="Times New Roman" w:eastAsia="Times New Roman" w:hAnsi="Times New Roman"/>
          <w:sz w:val="14"/>
          <w:szCs w:val="14"/>
          <w:color w:val="auto"/>
        </w:rPr>
        <w:t>virtue of holding shares, save for the</w:t>
      </w:r>
    </w:p>
    <w:p>
      <w:pPr>
        <w:ind w:left="2760"/>
        <w:spacing w:after="0" w:line="231" w:lineRule="auto"/>
        <w:rPr>
          <w:sz w:val="20"/>
          <w:szCs w:val="20"/>
          <w:color w:val="auto"/>
        </w:rPr>
      </w:pPr>
      <w:r>
        <w:rPr>
          <w:rFonts w:ascii="Times New Roman" w:cs="Times New Roman" w:eastAsia="Times New Roman" w:hAnsi="Times New Roman"/>
          <w:sz w:val="14"/>
          <w:szCs w:val="14"/>
          <w:color w:val="auto"/>
        </w:rPr>
        <w:t>right to seek relief on the grounds that</w:t>
      </w:r>
    </w:p>
    <w:p>
      <w:pPr>
        <w:ind w:left="2760"/>
        <w:spacing w:after="0"/>
        <w:rPr>
          <w:sz w:val="20"/>
          <w:szCs w:val="20"/>
          <w:color w:val="auto"/>
        </w:rPr>
      </w:pPr>
      <w:r>
        <w:rPr>
          <w:rFonts w:ascii="Times New Roman" w:cs="Times New Roman" w:eastAsia="Times New Roman" w:hAnsi="Times New Roman"/>
          <w:sz w:val="14"/>
          <w:szCs w:val="14"/>
          <w:color w:val="auto"/>
        </w:rPr>
        <w:t>the merger or consolidation is void or</w:t>
      </w:r>
    </w:p>
    <w:p>
      <w:pPr>
        <w:spacing w:after="0" w:line="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unlawful.</w:t>
      </w:r>
    </w:p>
    <w:p>
      <w:pPr>
        <w:spacing w:after="0" w:line="6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Separate from the statutory provisions</w:t>
      </w:r>
    </w:p>
    <w:p>
      <w:pPr>
        <w:spacing w:after="0" w:line="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relating to mergers and consolidations,</w:t>
      </w:r>
    </w:p>
    <w:p>
      <w:pPr>
        <w:ind w:left="2760"/>
        <w:spacing w:after="0" w:line="231" w:lineRule="auto"/>
        <w:rPr>
          <w:sz w:val="20"/>
          <w:szCs w:val="20"/>
          <w:color w:val="auto"/>
        </w:rPr>
      </w:pPr>
      <w:r>
        <w:rPr>
          <w:rFonts w:ascii="Times New Roman" w:cs="Times New Roman" w:eastAsia="Times New Roman" w:hAnsi="Times New Roman"/>
          <w:sz w:val="14"/>
          <w:szCs w:val="14"/>
          <w:color w:val="auto"/>
        </w:rPr>
        <w:t>the Companies Act (As Revised) also</w:t>
      </w:r>
    </w:p>
    <w:p>
      <w:pPr>
        <w:ind w:left="2760"/>
        <w:spacing w:after="0"/>
        <w:tabs>
          <w:tab w:leader="none" w:pos="3400" w:val="left"/>
          <w:tab w:leader="none" w:pos="4080" w:val="left"/>
          <w:tab w:leader="none" w:pos="4880" w:val="left"/>
        </w:tabs>
        <w:rPr>
          <w:sz w:val="20"/>
          <w:szCs w:val="20"/>
          <w:color w:val="auto"/>
        </w:rPr>
      </w:pPr>
      <w:r>
        <w:rPr>
          <w:rFonts w:ascii="Times New Roman" w:cs="Times New Roman" w:eastAsia="Times New Roman" w:hAnsi="Times New Roman"/>
          <w:sz w:val="14"/>
          <w:szCs w:val="14"/>
          <w:color w:val="auto"/>
        </w:rPr>
        <w:t>contains</w:t>
        <w:tab/>
        <w:t>statutory</w:t>
        <w:tab/>
        <w:t>provisions</w:t>
      </w:r>
      <w:r>
        <w:rPr>
          <w:sz w:val="20"/>
          <w:szCs w:val="20"/>
          <w:color w:val="auto"/>
        </w:rPr>
        <w:tab/>
      </w:r>
      <w:r>
        <w:rPr>
          <w:rFonts w:ascii="Times New Roman" w:cs="Times New Roman" w:eastAsia="Times New Roman" w:hAnsi="Times New Roman"/>
          <w:sz w:val="13"/>
          <w:szCs w:val="13"/>
          <w:color w:val="auto"/>
        </w:rPr>
        <w:t>that</w:t>
      </w:r>
    </w:p>
    <w:p>
      <w:pPr>
        <w:ind w:left="2760"/>
        <w:spacing w:after="0"/>
        <w:tabs>
          <w:tab w:leader="none" w:pos="3460" w:val="left"/>
          <w:tab w:leader="none" w:pos="3840" w:val="left"/>
          <w:tab w:leader="none" w:pos="4880" w:val="left"/>
        </w:tabs>
        <w:rPr>
          <w:sz w:val="20"/>
          <w:szCs w:val="20"/>
          <w:color w:val="auto"/>
        </w:rPr>
      </w:pPr>
      <w:r>
        <w:rPr>
          <w:rFonts w:ascii="Times New Roman" w:cs="Times New Roman" w:eastAsia="Times New Roman" w:hAnsi="Times New Roman"/>
          <w:sz w:val="14"/>
          <w:szCs w:val="14"/>
          <w:color w:val="auto"/>
        </w:rPr>
        <w:t>facilitate</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reconstruction</w:t>
      </w:r>
      <w:r>
        <w:rPr>
          <w:sz w:val="20"/>
          <w:szCs w:val="20"/>
          <w:color w:val="auto"/>
        </w:rPr>
        <w:tab/>
      </w:r>
      <w:r>
        <w:rPr>
          <w:rFonts w:ascii="Times New Roman" w:cs="Times New Roman" w:eastAsia="Times New Roman" w:hAnsi="Times New Roman"/>
          <w:sz w:val="13"/>
          <w:szCs w:val="13"/>
          <w:color w:val="auto"/>
        </w:rPr>
        <w:t>and</w:t>
      </w:r>
    </w:p>
    <w:p>
      <w:pPr>
        <w:ind w:left="2760"/>
        <w:spacing w:after="0" w:line="232" w:lineRule="auto"/>
        <w:rPr>
          <w:sz w:val="20"/>
          <w:szCs w:val="20"/>
          <w:color w:val="auto"/>
        </w:rPr>
      </w:pPr>
      <w:r>
        <w:rPr>
          <w:rFonts w:ascii="Times New Roman" w:cs="Times New Roman" w:eastAsia="Times New Roman" w:hAnsi="Times New Roman"/>
          <w:sz w:val="14"/>
          <w:szCs w:val="14"/>
          <w:color w:val="auto"/>
        </w:rPr>
        <w:t>amalgamation of companies by way of</w:t>
      </w:r>
    </w:p>
    <w:p>
      <w:pPr>
        <w:ind w:left="2760"/>
        <w:spacing w:after="0" w:line="231" w:lineRule="auto"/>
        <w:rPr>
          <w:sz w:val="20"/>
          <w:szCs w:val="20"/>
          <w:color w:val="auto"/>
        </w:rPr>
      </w:pPr>
      <w:r>
        <w:rPr>
          <w:rFonts w:ascii="Times New Roman" w:cs="Times New Roman" w:eastAsia="Times New Roman" w:hAnsi="Times New Roman"/>
          <w:sz w:val="14"/>
          <w:szCs w:val="14"/>
          <w:color w:val="auto"/>
        </w:rPr>
        <w:t>schemes of arrangement; provided that</w:t>
      </w:r>
    </w:p>
    <w:p>
      <w:pPr>
        <w:ind w:left="2760"/>
        <w:spacing w:after="0" w:line="231" w:lineRule="auto"/>
        <w:rPr>
          <w:sz w:val="20"/>
          <w:szCs w:val="20"/>
          <w:color w:val="auto"/>
        </w:rPr>
      </w:pPr>
      <w:r>
        <w:rPr>
          <w:rFonts w:ascii="Times New Roman" w:cs="Times New Roman" w:eastAsia="Times New Roman" w:hAnsi="Times New Roman"/>
          <w:sz w:val="14"/>
          <w:szCs w:val="14"/>
          <w:color w:val="auto"/>
        </w:rPr>
        <w:t>the arrangement is approved by (a) 75%</w:t>
      </w:r>
    </w:p>
    <w:p>
      <w:pPr>
        <w:ind w:left="2760"/>
        <w:spacing w:after="0" w:line="231" w:lineRule="auto"/>
        <w:rPr>
          <w:sz w:val="20"/>
          <w:szCs w:val="20"/>
          <w:color w:val="auto"/>
        </w:rPr>
      </w:pPr>
      <w:r>
        <w:rPr>
          <w:rFonts w:ascii="Times New Roman" w:cs="Times New Roman" w:eastAsia="Times New Roman" w:hAnsi="Times New Roman"/>
          <w:sz w:val="14"/>
          <w:szCs w:val="14"/>
          <w:color w:val="auto"/>
        </w:rPr>
        <w:t>in  value  of  shareholders  or  class  of</w:t>
      </w:r>
    </w:p>
    <w:p>
      <w:pPr>
        <w:ind w:left="2760"/>
        <w:spacing w:after="0" w:line="232" w:lineRule="auto"/>
        <w:rPr>
          <w:sz w:val="20"/>
          <w:szCs w:val="20"/>
          <w:color w:val="auto"/>
        </w:rPr>
      </w:pPr>
      <w:r>
        <w:rPr>
          <w:rFonts w:ascii="Times New Roman" w:cs="Times New Roman" w:eastAsia="Times New Roman" w:hAnsi="Times New Roman"/>
          <w:sz w:val="14"/>
          <w:szCs w:val="14"/>
          <w:color w:val="auto"/>
        </w:rPr>
        <w:t>shareholders, as the case may be, or</w:t>
      </w:r>
    </w:p>
    <w:p>
      <w:pPr>
        <w:jc w:val="both"/>
        <w:ind w:left="2760" w:right="3919" w:hanging="4"/>
        <w:spacing w:after="0" w:line="238" w:lineRule="auto"/>
        <w:tabs>
          <w:tab w:leader="none" w:pos="300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in number representing 75% in value of the creditors or class of</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64"/>
        </w:trPr>
        <w:tc>
          <w:tcPr>
            <w:tcW w:w="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 ​</w:t>
            </w:r>
          </w:p>
        </w:tc>
        <w:tc>
          <w:tcPr>
            <w:tcW w:w="1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Cayman Islands</w:t>
            </w:r>
          </w:p>
        </w:tc>
        <w:tc>
          <w:tcPr>
            <w:tcW w:w="32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r>
      <w:tr>
        <w:trPr>
          <w:trHeight w:val="153"/>
        </w:trPr>
        <w:tc>
          <w:tcPr>
            <w:tcW w:w="3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3"/>
                <w:szCs w:val="13"/>
                <w:color w:val="auto"/>
              </w:rPr>
            </w:pPr>
          </w:p>
        </w:tc>
        <w:tc>
          <w:tcPr>
            <w:tcW w:w="46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creditors,  as</w:t>
            </w:r>
          </w:p>
        </w:tc>
        <w:tc>
          <w:tcPr>
            <w:tcW w:w="1260" w:type="dxa"/>
            <w:vAlign w:val="bottom"/>
            <w:tcBorders>
              <w:top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the  case  may  be,</w:t>
            </w:r>
          </w:p>
        </w:tc>
        <w:tc>
          <w:tcPr>
            <w:tcW w:w="320" w:type="dxa"/>
            <w:vAlign w:val="bottom"/>
            <w:tcBorders>
              <w:top w:val="single" w:sz="8" w:color="auto"/>
            </w:tcBorders>
          </w:tcPr>
          <w:p>
            <w:pPr>
              <w:ind w:left="40"/>
              <w:spacing w:after="0" w:line="153" w:lineRule="exact"/>
              <w:rPr>
                <w:sz w:val="20"/>
                <w:szCs w:val="20"/>
                <w:color w:val="auto"/>
              </w:rPr>
            </w:pPr>
            <w:r>
              <w:rPr>
                <w:rFonts w:ascii="Times New Roman" w:cs="Times New Roman" w:eastAsia="Times New Roman" w:hAnsi="Times New Roman"/>
                <w:sz w:val="14"/>
                <w:szCs w:val="14"/>
                <w:color w:val="auto"/>
              </w:rPr>
              <w:t>with</w:t>
            </w:r>
          </w:p>
        </w:tc>
        <w:tc>
          <w:tcPr>
            <w:tcW w:w="2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 ​ ​</w:t>
            </w: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20" w:type="dxa"/>
            <w:vAlign w:val="bottom"/>
            <w:gridSpan w:val="5"/>
          </w:tcPr>
          <w:p>
            <w:pPr>
              <w:ind w:left="460"/>
              <w:spacing w:after="0" w:line="155" w:lineRule="exact"/>
              <w:rPr>
                <w:sz w:val="20"/>
                <w:szCs w:val="20"/>
                <w:color w:val="auto"/>
              </w:rPr>
            </w:pPr>
            <w:r>
              <w:rPr>
                <w:rFonts w:ascii="Times New Roman" w:cs="Times New Roman" w:eastAsia="Times New Roman" w:hAnsi="Times New Roman"/>
                <w:sz w:val="14"/>
                <w:szCs w:val="14"/>
                <w:color w:val="auto"/>
              </w:rPr>
              <w:t>whom the arrangement is to be made,</w:t>
            </w:r>
          </w:p>
        </w:tc>
      </w:tr>
      <w:tr>
        <w:trPr>
          <w:trHeight w:val="179"/>
        </w:trPr>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that are, in each case, present and voting</w:t>
            </w:r>
          </w:p>
        </w:tc>
      </w:tr>
    </w:tbl>
    <w:p>
      <w:pPr>
        <w:ind w:left="2760"/>
        <w:spacing w:after="0"/>
        <w:tabs>
          <w:tab w:leader="none" w:pos="3180" w:val="left"/>
          <w:tab w:leader="none" w:pos="3400" w:val="left"/>
          <w:tab w:leader="none" w:pos="3880" w:val="left"/>
          <w:tab w:leader="none" w:pos="4120" w:val="left"/>
          <w:tab w:leader="none" w:pos="4360" w:val="left"/>
          <w:tab w:leader="none" w:pos="4820" w:val="left"/>
          <w:tab w:leader="none" w:pos="5020" w:val="left"/>
        </w:tabs>
        <w:rPr>
          <w:sz w:val="20"/>
          <w:szCs w:val="20"/>
          <w:color w:val="auto"/>
        </w:rPr>
      </w:pPr>
      <w:r>
        <w:rPr>
          <w:rFonts w:ascii="Times New Roman" w:cs="Times New Roman" w:eastAsia="Times New Roman" w:hAnsi="Times New Roman"/>
          <w:sz w:val="14"/>
          <w:szCs w:val="14"/>
          <w:color w:val="auto"/>
        </w:rPr>
        <w:t>either</w:t>
        <w:tab/>
        <w:t>in</w:t>
        <w:tab/>
        <w:t>person</w:t>
        <w:tab/>
        <w:t>or</w:t>
        <w:tab/>
        <w:t>by</w:t>
        <w:tab/>
        <w:t>proxy</w:t>
        <w:tab/>
        <w:t>at</w:t>
      </w:r>
      <w:r>
        <w:rPr>
          <w:sz w:val="20"/>
          <w:szCs w:val="20"/>
          <w:color w:val="auto"/>
        </w:rPr>
        <w:tab/>
      </w:r>
      <w:r>
        <w:rPr>
          <w:rFonts w:ascii="Times New Roman" w:cs="Times New Roman" w:eastAsia="Times New Roman" w:hAnsi="Times New Roman"/>
          <w:sz w:val="13"/>
          <w:szCs w:val="13"/>
          <w:color w:val="auto"/>
        </w:rPr>
        <w:t>a</w:t>
      </w:r>
    </w:p>
    <w:p>
      <w:pPr>
        <w:ind w:left="2760"/>
        <w:spacing w:after="0" w:line="231" w:lineRule="auto"/>
        <w:rPr>
          <w:sz w:val="20"/>
          <w:szCs w:val="20"/>
          <w:color w:val="auto"/>
        </w:rPr>
      </w:pPr>
      <w:r>
        <w:rPr>
          <w:rFonts w:ascii="Times New Roman" w:cs="Times New Roman" w:eastAsia="Times New Roman" w:hAnsi="Times New Roman"/>
          <w:sz w:val="14"/>
          <w:szCs w:val="14"/>
          <w:color w:val="auto"/>
        </w:rPr>
        <w:t>meeting, or meetings, convened for that</w:t>
      </w:r>
    </w:p>
    <w:p>
      <w:pPr>
        <w:ind w:left="2760"/>
        <w:spacing w:after="0" w:line="231" w:lineRule="auto"/>
        <w:rPr>
          <w:sz w:val="20"/>
          <w:szCs w:val="20"/>
          <w:color w:val="auto"/>
        </w:rPr>
      </w:pPr>
      <w:r>
        <w:rPr>
          <w:rFonts w:ascii="Times New Roman" w:cs="Times New Roman" w:eastAsia="Times New Roman" w:hAnsi="Times New Roman"/>
          <w:sz w:val="14"/>
          <w:szCs w:val="14"/>
          <w:color w:val="auto"/>
        </w:rPr>
        <w:t>purpose. The convening of the meetings</w:t>
      </w:r>
    </w:p>
    <w:p>
      <w:pPr>
        <w:ind w:left="2760"/>
        <w:spacing w:after="0" w:line="231" w:lineRule="auto"/>
        <w:rPr>
          <w:sz w:val="20"/>
          <w:szCs w:val="20"/>
          <w:color w:val="auto"/>
        </w:rPr>
      </w:pPr>
      <w:r>
        <w:rPr>
          <w:rFonts w:ascii="Times New Roman" w:cs="Times New Roman" w:eastAsia="Times New Roman" w:hAnsi="Times New Roman"/>
          <w:sz w:val="14"/>
          <w:szCs w:val="14"/>
          <w:color w:val="auto"/>
        </w:rPr>
        <w:t>and subsequently the arrangement must</w:t>
      </w:r>
    </w:p>
    <w:p>
      <w:pPr>
        <w:ind w:left="2760"/>
        <w:spacing w:after="0" w:line="232" w:lineRule="auto"/>
        <w:rPr>
          <w:sz w:val="20"/>
          <w:szCs w:val="20"/>
          <w:color w:val="auto"/>
        </w:rPr>
      </w:pPr>
      <w:r>
        <w:rPr>
          <w:rFonts w:ascii="Times New Roman" w:cs="Times New Roman" w:eastAsia="Times New Roman" w:hAnsi="Times New Roman"/>
          <w:sz w:val="14"/>
          <w:szCs w:val="14"/>
          <w:color w:val="auto"/>
        </w:rPr>
        <w:t>be sanctioned by the Grand Court of the</w:t>
      </w:r>
    </w:p>
    <w:p>
      <w:pPr>
        <w:ind w:left="2760"/>
        <w:spacing w:after="0" w:line="231" w:lineRule="auto"/>
        <w:tabs>
          <w:tab w:leader="none" w:pos="3320" w:val="left"/>
          <w:tab w:leader="none" w:pos="3880" w:val="left"/>
          <w:tab w:leader="none" w:pos="4340" w:val="left"/>
          <w:tab w:leader="none" w:pos="4500" w:val="left"/>
        </w:tabs>
        <w:rPr>
          <w:sz w:val="20"/>
          <w:szCs w:val="20"/>
          <w:color w:val="auto"/>
        </w:rPr>
      </w:pPr>
      <w:r>
        <w:rPr>
          <w:rFonts w:ascii="Times New Roman" w:cs="Times New Roman" w:eastAsia="Times New Roman" w:hAnsi="Times New Roman"/>
          <w:sz w:val="14"/>
          <w:szCs w:val="14"/>
          <w:color w:val="auto"/>
        </w:rPr>
        <w:t>Cayman</w:t>
        <w:tab/>
        <w:t>Islands.</w:t>
        <w:tab/>
        <w:t>While</w:t>
        <w:tab/>
        <w:t>a</w:t>
        <w:tab/>
        <w:t>dissenting</w:t>
      </w:r>
    </w:p>
    <w:p>
      <w:pPr>
        <w:ind w:left="2760"/>
        <w:spacing w:after="0" w:line="231" w:lineRule="auto"/>
        <w:rPr>
          <w:sz w:val="20"/>
          <w:szCs w:val="20"/>
          <w:color w:val="auto"/>
        </w:rPr>
      </w:pPr>
      <w:r>
        <w:rPr>
          <w:rFonts w:ascii="Times New Roman" w:cs="Times New Roman" w:eastAsia="Times New Roman" w:hAnsi="Times New Roman"/>
          <w:sz w:val="14"/>
          <w:szCs w:val="14"/>
          <w:color w:val="auto"/>
        </w:rPr>
        <w:t>shareholder has the right to express to</w:t>
      </w:r>
    </w:p>
    <w:p>
      <w:pPr>
        <w:ind w:left="2760"/>
        <w:spacing w:after="0" w:line="232" w:lineRule="auto"/>
        <w:rPr>
          <w:sz w:val="20"/>
          <w:szCs w:val="20"/>
          <w:color w:val="auto"/>
        </w:rPr>
      </w:pPr>
      <w:r>
        <w:rPr>
          <w:rFonts w:ascii="Times New Roman" w:cs="Times New Roman" w:eastAsia="Times New Roman" w:hAnsi="Times New Roman"/>
          <w:sz w:val="14"/>
          <w:szCs w:val="14"/>
          <w:color w:val="auto"/>
        </w:rPr>
        <w:t>the court the view that the transaction</w:t>
      </w:r>
    </w:p>
    <w:p>
      <w:pPr>
        <w:ind w:left="2760"/>
        <w:spacing w:after="0" w:line="231" w:lineRule="auto"/>
        <w:rPr>
          <w:sz w:val="20"/>
          <w:szCs w:val="20"/>
          <w:color w:val="auto"/>
        </w:rPr>
      </w:pPr>
      <w:r>
        <w:rPr>
          <w:rFonts w:ascii="Times New Roman" w:cs="Times New Roman" w:eastAsia="Times New Roman" w:hAnsi="Times New Roman"/>
          <w:sz w:val="14"/>
          <w:szCs w:val="14"/>
          <w:color w:val="auto"/>
        </w:rPr>
        <w:t>ought not to be approved, the court can</w:t>
      </w:r>
    </w:p>
    <w:p>
      <w:pPr>
        <w:ind w:left="2760"/>
        <w:spacing w:after="0" w:line="231" w:lineRule="auto"/>
        <w:rPr>
          <w:sz w:val="20"/>
          <w:szCs w:val="20"/>
          <w:color w:val="auto"/>
        </w:rPr>
      </w:pPr>
      <w:r>
        <w:rPr>
          <w:rFonts w:ascii="Times New Roman" w:cs="Times New Roman" w:eastAsia="Times New Roman" w:hAnsi="Times New Roman"/>
          <w:sz w:val="14"/>
          <w:szCs w:val="14"/>
          <w:color w:val="auto"/>
        </w:rPr>
        <w:t>be expected to approve the arrangement</w:t>
      </w:r>
    </w:p>
    <w:p>
      <w:pPr>
        <w:ind w:left="2760"/>
        <w:spacing w:after="0"/>
        <w:rPr>
          <w:sz w:val="20"/>
          <w:szCs w:val="20"/>
          <w:color w:val="auto"/>
        </w:rPr>
      </w:pPr>
      <w:r>
        <w:rPr>
          <w:rFonts w:ascii="Times New Roman" w:cs="Times New Roman" w:eastAsia="Times New Roman" w:hAnsi="Times New Roman"/>
          <w:sz w:val="14"/>
          <w:szCs w:val="14"/>
          <w:color w:val="auto"/>
        </w:rPr>
        <w:t>if it determines that:</w:t>
      </w:r>
    </w:p>
    <w:p>
      <w:pPr>
        <w:spacing w:after="0" w:line="84" w:lineRule="exact"/>
        <w:rPr>
          <w:sz w:val="20"/>
          <w:szCs w:val="20"/>
          <w:color w:val="auto"/>
        </w:rPr>
      </w:pPr>
    </w:p>
    <w:p>
      <w:pPr>
        <w:jc w:val="both"/>
        <w:ind w:left="2860" w:right="420" w:hanging="104"/>
        <w:spacing w:after="0" w:line="257" w:lineRule="auto"/>
        <w:tabs>
          <w:tab w:leader="none" w:pos="2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68" w:lineRule="exact"/>
        <w:rPr>
          <w:rFonts w:ascii="Times New Roman" w:cs="Times New Roman" w:eastAsia="Times New Roman" w:hAnsi="Times New Roman"/>
          <w:sz w:val="14"/>
          <w:szCs w:val="14"/>
          <w:color w:val="auto"/>
        </w:rPr>
      </w:pPr>
    </w:p>
    <w:p>
      <w:pPr>
        <w:jc w:val="both"/>
        <w:ind w:left="2860" w:right="420" w:hanging="104"/>
        <w:spacing w:after="0" w:line="237" w:lineRule="auto"/>
        <w:tabs>
          <w:tab w:leader="none" w:pos="2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80" w:lineRule="exact"/>
        <w:rPr>
          <w:rFonts w:ascii="Times New Roman" w:cs="Times New Roman" w:eastAsia="Times New Roman" w:hAnsi="Times New Roman"/>
          <w:sz w:val="14"/>
          <w:szCs w:val="14"/>
          <w:color w:val="auto"/>
        </w:rPr>
      </w:pPr>
    </w:p>
    <w:p>
      <w:pPr>
        <w:jc w:val="both"/>
        <w:ind w:left="2860" w:right="420" w:hanging="104"/>
        <w:spacing w:after="0"/>
        <w:tabs>
          <w:tab w:leader="none" w:pos="2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that may be reasonably approved by an intelligent and honest man of that class acting in respect of his interest; and</w:t>
      </w:r>
    </w:p>
    <w:p>
      <w:pPr>
        <w:spacing w:after="0" w:line="79" w:lineRule="exact"/>
        <w:rPr>
          <w:rFonts w:ascii="Times New Roman" w:cs="Times New Roman" w:eastAsia="Times New Roman" w:hAnsi="Times New Roman"/>
          <w:sz w:val="14"/>
          <w:szCs w:val="14"/>
          <w:color w:val="auto"/>
        </w:rPr>
      </w:pPr>
    </w:p>
    <w:p>
      <w:pPr>
        <w:jc w:val="both"/>
        <w:ind w:left="2860" w:right="400" w:hanging="104"/>
        <w:spacing w:after="0"/>
        <w:tabs>
          <w:tab w:leader="none" w:pos="2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 (As Revised).</w:t>
      </w:r>
    </w:p>
    <w:p>
      <w:pPr>
        <w:spacing w:after="0" w:line="8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The Companies Act (As Revised) also</w:t>
      </w:r>
    </w:p>
    <w:p>
      <w:pPr>
        <w:spacing w:after="0" w:line="2" w:lineRule="exact"/>
        <w:rPr>
          <w:sz w:val="20"/>
          <w:szCs w:val="20"/>
          <w:color w:val="auto"/>
        </w:rPr>
      </w:pPr>
    </w:p>
    <w:p>
      <w:pPr>
        <w:ind w:left="2760"/>
        <w:spacing w:after="0"/>
        <w:tabs>
          <w:tab w:leader="none" w:pos="3420" w:val="left"/>
          <w:tab w:leader="none" w:pos="3700" w:val="left"/>
          <w:tab w:leader="none" w:pos="4400" w:val="left"/>
          <w:tab w:leader="none" w:pos="4960" w:val="left"/>
        </w:tabs>
        <w:rPr>
          <w:sz w:val="20"/>
          <w:szCs w:val="20"/>
          <w:color w:val="auto"/>
        </w:rPr>
      </w:pPr>
      <w:r>
        <w:rPr>
          <w:rFonts w:ascii="Times New Roman" w:cs="Times New Roman" w:eastAsia="Times New Roman" w:hAnsi="Times New Roman"/>
          <w:sz w:val="14"/>
          <w:szCs w:val="14"/>
          <w:color w:val="auto"/>
        </w:rPr>
        <w:t>contains</w:t>
        <w:tab/>
        <w:t>a</w:t>
      </w:r>
      <w:r>
        <w:rPr>
          <w:sz w:val="20"/>
          <w:szCs w:val="20"/>
          <w:color w:val="auto"/>
        </w:rPr>
        <w:tab/>
      </w:r>
      <w:r>
        <w:rPr>
          <w:rFonts w:ascii="Times New Roman" w:cs="Times New Roman" w:eastAsia="Times New Roman" w:hAnsi="Times New Roman"/>
          <w:sz w:val="14"/>
          <w:szCs w:val="14"/>
          <w:color w:val="auto"/>
        </w:rPr>
        <w:t>statutory</w:t>
        <w:tab/>
        <w:t>power</w:t>
        <w:tab/>
        <w:t>of</w:t>
      </w:r>
    </w:p>
    <w:p>
      <w:pPr>
        <w:ind w:left="2760"/>
        <w:spacing w:after="0"/>
        <w:tabs>
          <w:tab w:leader="none" w:pos="3560" w:val="left"/>
          <w:tab w:leader="none" w:pos="4340" w:val="left"/>
          <w:tab w:leader="none" w:pos="4840" w:val="left"/>
        </w:tabs>
        <w:rPr>
          <w:sz w:val="20"/>
          <w:szCs w:val="20"/>
          <w:color w:val="auto"/>
        </w:rPr>
      </w:pPr>
      <w:r>
        <w:rPr>
          <w:rFonts w:ascii="Times New Roman" w:cs="Times New Roman" w:eastAsia="Times New Roman" w:hAnsi="Times New Roman"/>
          <w:sz w:val="14"/>
          <w:szCs w:val="14"/>
          <w:color w:val="auto"/>
        </w:rPr>
        <w:t>compulsory</w:t>
        <w:tab/>
        <w:t>acquisition</w:t>
        <w:tab/>
        <w:t>which</w:t>
      </w:r>
      <w:r>
        <w:rPr>
          <w:sz w:val="20"/>
          <w:szCs w:val="20"/>
          <w:color w:val="auto"/>
        </w:rPr>
        <w:tab/>
      </w:r>
      <w:r>
        <w:rPr>
          <w:rFonts w:ascii="Times New Roman" w:cs="Times New Roman" w:eastAsia="Times New Roman" w:hAnsi="Times New Roman"/>
          <w:sz w:val="13"/>
          <w:szCs w:val="13"/>
          <w:color w:val="auto"/>
        </w:rPr>
        <w:t>may</w:t>
      </w:r>
    </w:p>
    <w:p>
      <w:pPr>
        <w:ind w:left="2760"/>
        <w:spacing w:after="0"/>
        <w:tabs>
          <w:tab w:leader="none" w:pos="3440" w:val="left"/>
          <w:tab w:leader="none" w:pos="3820" w:val="left"/>
          <w:tab w:leader="none" w:pos="4520" w:val="left"/>
          <w:tab w:leader="none" w:pos="4980" w:val="left"/>
        </w:tabs>
        <w:rPr>
          <w:sz w:val="20"/>
          <w:szCs w:val="20"/>
          <w:color w:val="auto"/>
        </w:rPr>
      </w:pPr>
      <w:r>
        <w:rPr>
          <w:rFonts w:ascii="Times New Roman" w:cs="Times New Roman" w:eastAsia="Times New Roman" w:hAnsi="Times New Roman"/>
          <w:sz w:val="14"/>
          <w:szCs w:val="14"/>
          <w:color w:val="auto"/>
        </w:rPr>
        <w:t>facilitate</w:t>
        <w:tab/>
        <w:t>the</w:t>
        <w:tab/>
        <w:t>“squeeze</w:t>
        <w:tab/>
        <w:t>out”</w:t>
      </w:r>
      <w:r>
        <w:rPr>
          <w:sz w:val="20"/>
          <w:szCs w:val="20"/>
          <w:color w:val="auto"/>
        </w:rPr>
        <w:tab/>
      </w:r>
      <w:r>
        <w:rPr>
          <w:rFonts w:ascii="Times New Roman" w:cs="Times New Roman" w:eastAsia="Times New Roman" w:hAnsi="Times New Roman"/>
          <w:sz w:val="11"/>
          <w:szCs w:val="11"/>
          <w:color w:val="auto"/>
        </w:rPr>
        <w:t>of</w:t>
      </w:r>
    </w:p>
    <w:p>
      <w:pPr>
        <w:ind w:left="2760"/>
        <w:spacing w:after="0" w:line="231" w:lineRule="auto"/>
        <w:rPr>
          <w:sz w:val="20"/>
          <w:szCs w:val="20"/>
          <w:color w:val="auto"/>
        </w:rPr>
      </w:pPr>
      <w:r>
        <w:rPr>
          <w:rFonts w:ascii="Times New Roman" w:cs="Times New Roman" w:eastAsia="Times New Roman" w:hAnsi="Times New Roman"/>
          <w:sz w:val="14"/>
          <w:szCs w:val="14"/>
          <w:color w:val="auto"/>
        </w:rPr>
        <w:t>dissentient minority shareholders upon a</w:t>
      </w:r>
    </w:p>
    <w:p>
      <w:pPr>
        <w:ind w:left="2760"/>
        <w:spacing w:after="0" w:line="232" w:lineRule="auto"/>
        <w:rPr>
          <w:sz w:val="20"/>
          <w:szCs w:val="20"/>
          <w:color w:val="auto"/>
        </w:rPr>
      </w:pPr>
      <w:r>
        <w:rPr>
          <w:rFonts w:ascii="Times New Roman" w:cs="Times New Roman" w:eastAsia="Times New Roman" w:hAnsi="Times New Roman"/>
          <w:sz w:val="14"/>
          <w:szCs w:val="14"/>
          <w:color w:val="auto"/>
        </w:rPr>
        <w:t>tender  offer.  When  a  tender  offer  is</w:t>
      </w:r>
    </w:p>
    <w:p>
      <w:pPr>
        <w:ind w:left="2760"/>
        <w:spacing w:after="0" w:line="231" w:lineRule="auto"/>
        <w:rPr>
          <w:sz w:val="20"/>
          <w:szCs w:val="20"/>
          <w:color w:val="auto"/>
        </w:rPr>
      </w:pPr>
      <w:r>
        <w:rPr>
          <w:rFonts w:ascii="Times New Roman" w:cs="Times New Roman" w:eastAsia="Times New Roman" w:hAnsi="Times New Roman"/>
          <w:sz w:val="14"/>
          <w:szCs w:val="14"/>
          <w:color w:val="auto"/>
        </w:rPr>
        <w:t>made and accepted by holders of 90.0%</w:t>
      </w:r>
    </w:p>
    <w:p>
      <w:pPr>
        <w:ind w:left="2760"/>
        <w:spacing w:after="0" w:line="231" w:lineRule="auto"/>
        <w:tabs>
          <w:tab w:leader="none" w:pos="3080" w:val="left"/>
          <w:tab w:leader="none" w:pos="3460" w:val="left"/>
          <w:tab w:leader="none" w:pos="4040" w:val="left"/>
          <w:tab w:leader="none" w:pos="4720" w:val="left"/>
        </w:tabs>
        <w:rPr>
          <w:sz w:val="20"/>
          <w:szCs w:val="20"/>
          <w:color w:val="auto"/>
        </w:rPr>
      </w:pPr>
      <w:r>
        <w:rPr>
          <w:rFonts w:ascii="Times New Roman" w:cs="Times New Roman" w:eastAsia="Times New Roman" w:hAnsi="Times New Roman"/>
          <w:sz w:val="14"/>
          <w:szCs w:val="14"/>
          <w:color w:val="auto"/>
        </w:rPr>
        <w:t>of</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shares</w:t>
      </w:r>
      <w:r>
        <w:rPr>
          <w:sz w:val="20"/>
          <w:szCs w:val="20"/>
          <w:color w:val="auto"/>
        </w:rPr>
        <w:tab/>
      </w:r>
      <w:r>
        <w:rPr>
          <w:rFonts w:ascii="Times New Roman" w:cs="Times New Roman" w:eastAsia="Times New Roman" w:hAnsi="Times New Roman"/>
          <w:sz w:val="14"/>
          <w:szCs w:val="14"/>
          <w:color w:val="auto"/>
        </w:rPr>
        <w:t>affected</w:t>
      </w:r>
      <w:r>
        <w:rPr>
          <w:sz w:val="20"/>
          <w:szCs w:val="20"/>
          <w:color w:val="auto"/>
        </w:rPr>
        <w:tab/>
      </w:r>
      <w:r>
        <w:rPr>
          <w:rFonts w:ascii="Times New Roman" w:cs="Times New Roman" w:eastAsia="Times New Roman" w:hAnsi="Times New Roman"/>
          <w:sz w:val="14"/>
          <w:szCs w:val="14"/>
          <w:color w:val="auto"/>
        </w:rPr>
        <w:t>within</w:t>
      </w:r>
    </w:p>
    <w:p>
      <w:pPr>
        <w:ind w:left="2760"/>
        <w:spacing w:after="0" w:line="231" w:lineRule="auto"/>
        <w:rPr>
          <w:sz w:val="20"/>
          <w:szCs w:val="20"/>
          <w:color w:val="auto"/>
        </w:rPr>
      </w:pPr>
      <w:r>
        <w:rPr>
          <w:rFonts w:ascii="Times New Roman" w:cs="Times New Roman" w:eastAsia="Times New Roman" w:hAnsi="Times New Roman"/>
          <w:sz w:val="14"/>
          <w:szCs w:val="14"/>
          <w:color w:val="auto"/>
        </w:rPr>
        <w:t>four months, the offeror may, within a</w:t>
      </w:r>
    </w:p>
    <w:p>
      <w:pPr>
        <w:ind w:left="2760"/>
        <w:spacing w:after="0" w:line="232" w:lineRule="auto"/>
        <w:rPr>
          <w:sz w:val="20"/>
          <w:szCs w:val="20"/>
          <w:color w:val="auto"/>
        </w:rPr>
      </w:pPr>
      <w:r>
        <w:rPr>
          <w:rFonts w:ascii="Times New Roman" w:cs="Times New Roman" w:eastAsia="Times New Roman" w:hAnsi="Times New Roman"/>
          <w:sz w:val="14"/>
          <w:szCs w:val="14"/>
          <w:color w:val="auto"/>
        </w:rPr>
        <w:t>two-month period commencing on the</w:t>
      </w:r>
    </w:p>
    <w:p>
      <w:pPr>
        <w:ind w:left="2760"/>
        <w:spacing w:after="0" w:line="231" w:lineRule="auto"/>
        <w:rPr>
          <w:sz w:val="20"/>
          <w:szCs w:val="20"/>
          <w:color w:val="auto"/>
        </w:rPr>
      </w:pPr>
      <w:r>
        <w:rPr>
          <w:rFonts w:ascii="Times New Roman" w:cs="Times New Roman" w:eastAsia="Times New Roman" w:hAnsi="Times New Roman"/>
          <w:sz w:val="14"/>
          <w:szCs w:val="14"/>
          <w:color w:val="auto"/>
        </w:rPr>
        <w:t>expiration of such four-month period,</w:t>
      </w:r>
    </w:p>
    <w:p>
      <w:pPr>
        <w:ind w:left="2760"/>
        <w:spacing w:after="0"/>
        <w:rPr>
          <w:sz w:val="20"/>
          <w:szCs w:val="20"/>
          <w:color w:val="auto"/>
        </w:rPr>
      </w:pPr>
      <w:r>
        <w:rPr>
          <w:rFonts w:ascii="Times New Roman" w:cs="Times New Roman" w:eastAsia="Times New Roman" w:hAnsi="Times New Roman"/>
          <w:sz w:val="14"/>
          <w:szCs w:val="14"/>
          <w:color w:val="auto"/>
        </w:rPr>
        <w:t>require  the  holders  of  the  remaining</w:t>
      </w:r>
    </w:p>
    <w:p>
      <w:pPr>
        <w:ind w:left="2760"/>
        <w:spacing w:after="0" w:line="237" w:lineRule="auto"/>
        <w:rPr>
          <w:sz w:val="20"/>
          <w:szCs w:val="20"/>
          <w:color w:val="auto"/>
        </w:rPr>
      </w:pPr>
      <w:r>
        <w:rPr>
          <w:rFonts w:ascii="Times New Roman" w:cs="Times New Roman" w:eastAsia="Times New Roman" w:hAnsi="Times New Roman"/>
          <w:sz w:val="14"/>
          <w:szCs w:val="14"/>
          <w:color w:val="auto"/>
        </w:rPr>
        <w:t>shares to transfer such shares to the</w:t>
      </w:r>
    </w:p>
    <w:p>
      <w:pPr>
        <w:ind w:left="2760"/>
        <w:spacing w:after="0" w:line="232" w:lineRule="auto"/>
        <w:rPr>
          <w:sz w:val="20"/>
          <w:szCs w:val="20"/>
          <w:color w:val="auto"/>
        </w:rPr>
      </w:pPr>
      <w:r>
        <w:rPr>
          <w:rFonts w:ascii="Times New Roman" w:cs="Times New Roman" w:eastAsia="Times New Roman" w:hAnsi="Times New Roman"/>
          <w:sz w:val="14"/>
          <w:szCs w:val="14"/>
          <w:color w:val="auto"/>
        </w:rPr>
        <w:t>offeror on the terms of the offer. An</w:t>
      </w:r>
    </w:p>
    <w:p>
      <w:pPr>
        <w:ind w:left="2760"/>
        <w:spacing w:after="0" w:line="231" w:lineRule="auto"/>
        <w:rPr>
          <w:sz w:val="20"/>
          <w:szCs w:val="20"/>
          <w:color w:val="auto"/>
        </w:rPr>
      </w:pPr>
      <w:r>
        <w:rPr>
          <w:rFonts w:ascii="Times New Roman" w:cs="Times New Roman" w:eastAsia="Times New Roman" w:hAnsi="Times New Roman"/>
          <w:sz w:val="14"/>
          <w:szCs w:val="14"/>
          <w:color w:val="auto"/>
        </w:rPr>
        <w:t>objection can be made to the Grand</w:t>
      </w:r>
    </w:p>
    <w:p>
      <w:pPr>
        <w:ind w:left="2760"/>
        <w:spacing w:after="0" w:line="231" w:lineRule="auto"/>
        <w:rPr>
          <w:sz w:val="20"/>
          <w:szCs w:val="20"/>
          <w:color w:val="auto"/>
        </w:rPr>
      </w:pPr>
      <w:r>
        <w:rPr>
          <w:rFonts w:ascii="Times New Roman" w:cs="Times New Roman" w:eastAsia="Times New Roman" w:hAnsi="Times New Roman"/>
          <w:sz w:val="14"/>
          <w:szCs w:val="14"/>
          <w:color w:val="auto"/>
        </w:rPr>
        <w:t>Court of the Cayman Islands but this is</w:t>
      </w:r>
    </w:p>
    <w:p>
      <w:pPr>
        <w:ind w:left="2760"/>
        <w:spacing w:after="0" w:line="231" w:lineRule="auto"/>
        <w:rPr>
          <w:sz w:val="20"/>
          <w:szCs w:val="20"/>
          <w:color w:val="auto"/>
        </w:rPr>
      </w:pPr>
      <w:r>
        <w:rPr>
          <w:rFonts w:ascii="Times New Roman" w:cs="Times New Roman" w:eastAsia="Times New Roman" w:hAnsi="Times New Roman"/>
          <w:sz w:val="14"/>
          <w:szCs w:val="14"/>
          <w:color w:val="auto"/>
        </w:rPr>
        <w:t>unlikely to succeed in the case of an</w:t>
      </w:r>
    </w:p>
    <w:p>
      <w:pPr>
        <w:ind w:left="2760"/>
        <w:spacing w:after="0" w:line="232" w:lineRule="auto"/>
        <w:rPr>
          <w:sz w:val="20"/>
          <w:szCs w:val="20"/>
          <w:color w:val="auto"/>
        </w:rPr>
      </w:pPr>
      <w:r>
        <w:rPr>
          <w:rFonts w:ascii="Times New Roman" w:cs="Times New Roman" w:eastAsia="Times New Roman" w:hAnsi="Times New Roman"/>
          <w:sz w:val="14"/>
          <w:szCs w:val="14"/>
          <w:color w:val="auto"/>
        </w:rPr>
        <w:t>offer which has been so approved unless</w:t>
      </w:r>
    </w:p>
    <w:p>
      <w:pPr>
        <w:ind w:left="2760"/>
        <w:spacing w:after="0" w:line="231" w:lineRule="auto"/>
        <w:rPr>
          <w:sz w:val="20"/>
          <w:szCs w:val="20"/>
          <w:color w:val="auto"/>
        </w:rPr>
      </w:pPr>
      <w:r>
        <w:rPr>
          <w:rFonts w:ascii="Times New Roman" w:cs="Times New Roman" w:eastAsia="Times New Roman" w:hAnsi="Times New Roman"/>
          <w:sz w:val="14"/>
          <w:szCs w:val="14"/>
          <w:color w:val="auto"/>
        </w:rPr>
        <w:t>there is evidence of fraud, bad faith or</w:t>
      </w:r>
    </w:p>
    <w:p>
      <w:pPr>
        <w:ind w:left="2760"/>
        <w:spacing w:after="0"/>
        <w:rPr>
          <w:sz w:val="20"/>
          <w:szCs w:val="20"/>
          <w:color w:val="auto"/>
        </w:rPr>
      </w:pPr>
      <w:r>
        <w:rPr>
          <w:rFonts w:ascii="Times New Roman" w:cs="Times New Roman" w:eastAsia="Times New Roman" w:hAnsi="Times New Roman"/>
          <w:sz w:val="14"/>
          <w:szCs w:val="14"/>
          <w:color w:val="auto"/>
        </w:rPr>
        <w:t>collusion.</w:t>
      </w:r>
    </w:p>
    <w:p>
      <w:pPr>
        <w:spacing w:after="0" w:line="8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If an arrangement and reconstruction by</w:t>
      </w:r>
    </w:p>
    <w:p>
      <w:pPr>
        <w:spacing w:after="0" w:line="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way of scheme of arrangement is thus</w:t>
      </w:r>
    </w:p>
    <w:p>
      <w:pPr>
        <w:ind w:left="2760"/>
        <w:spacing w:after="0" w:line="231" w:lineRule="auto"/>
        <w:rPr>
          <w:sz w:val="20"/>
          <w:szCs w:val="20"/>
          <w:color w:val="auto"/>
        </w:rPr>
      </w:pPr>
      <w:r>
        <w:rPr>
          <w:rFonts w:ascii="Times New Roman" w:cs="Times New Roman" w:eastAsia="Times New Roman" w:hAnsi="Times New Roman"/>
          <w:sz w:val="14"/>
          <w:szCs w:val="14"/>
          <w:color w:val="auto"/>
        </w:rPr>
        <w:t>approved and sanctioned, or if a tender</w:t>
      </w:r>
    </w:p>
    <w:p>
      <w:pPr>
        <w:ind w:left="2760"/>
        <w:spacing w:after="0"/>
        <w:tabs>
          <w:tab w:leader="none" w:pos="3180" w:val="left"/>
          <w:tab w:leader="none" w:pos="3440" w:val="left"/>
          <w:tab w:leader="none" w:pos="3920" w:val="left"/>
          <w:tab w:leader="none" w:pos="4300" w:val="left"/>
          <w:tab w:leader="none" w:pos="4980" w:val="left"/>
        </w:tabs>
        <w:rPr>
          <w:sz w:val="20"/>
          <w:szCs w:val="20"/>
          <w:color w:val="auto"/>
        </w:rPr>
      </w:pPr>
      <w:r>
        <w:rPr>
          <w:rFonts w:ascii="Times New Roman" w:cs="Times New Roman" w:eastAsia="Times New Roman" w:hAnsi="Times New Roman"/>
          <w:sz w:val="14"/>
          <w:szCs w:val="14"/>
          <w:color w:val="auto"/>
        </w:rPr>
        <w:t>offer</w:t>
        <w:tab/>
        <w:t>is</w:t>
        <w:tab/>
        <w:t>made</w:t>
        <w:tab/>
        <w:t>and</w:t>
        <w:tab/>
        <w:t>accepted</w:t>
      </w:r>
      <w:r>
        <w:rPr>
          <w:sz w:val="20"/>
          <w:szCs w:val="20"/>
          <w:color w:val="auto"/>
        </w:rPr>
        <w:tab/>
      </w:r>
      <w:r>
        <w:rPr>
          <w:rFonts w:ascii="Times New Roman" w:cs="Times New Roman" w:eastAsia="Times New Roman" w:hAnsi="Times New Roman"/>
          <w:sz w:val="11"/>
          <w:szCs w:val="11"/>
          <w:color w:val="auto"/>
        </w:rPr>
        <w:t>in</w:t>
      </w:r>
    </w:p>
    <w:p>
      <w:pPr>
        <w:ind w:left="2760"/>
        <w:spacing w:after="0"/>
        <w:rPr>
          <w:sz w:val="20"/>
          <w:szCs w:val="20"/>
          <w:color w:val="auto"/>
        </w:rPr>
      </w:pPr>
      <w:r>
        <w:rPr>
          <w:rFonts w:ascii="Times New Roman" w:cs="Times New Roman" w:eastAsia="Times New Roman" w:hAnsi="Times New Roman"/>
          <w:sz w:val="14"/>
          <w:szCs w:val="14"/>
          <w:color w:val="auto"/>
        </w:rPr>
        <w:t>accordance</w:t>
      </w:r>
    </w:p>
    <w:p>
      <w:pPr>
        <w:spacing w:after="0" w:line="3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24130</wp:posOffset>
            </wp:positionV>
            <wp:extent cx="149733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97330" cy="6350"/>
                    </a:xfrm>
                    <a:prstGeom prst="rect">
                      <a:avLst/>
                    </a:prstGeom>
                    <a:noFill/>
                  </pic:spPr>
                </pic:pic>
              </a:graphicData>
            </a:graphic>
          </wp:anchor>
        </w:drawing>
      </w:r>
    </w:p>
    <w:p>
      <w:pPr>
        <w:spacing w:after="0" w:line="19"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5520" w:space="720"/>
            <w:col w:w="2779"/>
          </w:cols>
          <w:pgMar w:left="1440" w:top="104" w:right="1440" w:bottom="1440" w:gutter="0" w:footer="0" w:header="0"/>
        </w:sectPr>
      </w:pPr>
    </w:p>
    <w:bookmarkStart w:id="33" w:name="page34"/>
    <w:bookmarkEnd w:id="3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00" w:lineRule="exact"/>
        <w:rPr>
          <w:sz w:val="20"/>
          <w:szCs w:val="20"/>
          <w:color w:val="auto"/>
        </w:rPr>
      </w:pPr>
    </w:p>
    <w:p>
      <w:pPr>
        <w:jc w:val="both"/>
        <w:ind w:left="1360"/>
        <w:spacing w:after="0"/>
        <w:tabs>
          <w:tab w:leader="none" w:pos="1960" w:val="left"/>
          <w:tab w:leader="none" w:pos="2620" w:val="left"/>
          <w:tab w:leader="none" w:pos="3540" w:val="left"/>
          <w:tab w:leader="none" w:pos="5140" w:val="left"/>
          <w:tab w:leader="none" w:pos="6220" w:val="left"/>
          <w:tab w:leader="none" w:pos="762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Cayman Islands</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ectPr>
          <w:pgSz w:w="11900" w:h="16838" w:orient="portrait"/>
          <w:cols w:equalWidth="0" w:num="1">
            <w:col w:w="9019"/>
          </w:cols>
          <w:pgMar w:left="1440" w:top="104" w:right="1440" w:bottom="1440" w:gutter="0" w:footer="0" w:header="0"/>
        </w:sectPr>
      </w:pPr>
    </w:p>
    <w:p>
      <w:pPr>
        <w:spacing w:after="0" w:line="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Shareholders’ Suits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304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auto"/>
              </w:rPr>
              <w:t>​ ​ with the foregoing statutory procedures,​ ​ ​</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a dissenting shareholder would have no</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rights comparable to appraisal rights,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which  would  otherwise  ordinarily  be</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available to dissenting shareholders of</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Delaware corporations, providing rights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to  receive  payment  in  cash  for  the</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judicially  determined  value  of  the</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In principle, we will normally be the​ ​ Class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actions  and  derivative  actions​</w:t>
            </w: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proper plaintiff to sue for a wrong done</w:t>
            </w:r>
          </w:p>
        </w:tc>
        <w:tc>
          <w:tcPr>
            <w:tcW w:w="1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generally are available to</w:t>
            </w:r>
          </w:p>
        </w:tc>
        <w:tc>
          <w:tcPr>
            <w:tcW w:w="8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stockholders</w:t>
            </w:r>
          </w:p>
        </w:tc>
      </w:tr>
      <w:tr>
        <w:trPr>
          <w:trHeight w:val="179"/>
        </w:trPr>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 us as a company, and as a general rule</w:t>
            </w: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under</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 law for,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among other</w:t>
            </w:r>
          </w:p>
        </w:tc>
      </w:tr>
    </w:tbl>
    <w:p>
      <w:pPr>
        <w:spacing w:after="0" w:line="1" w:lineRule="exact"/>
        <w:rPr>
          <w:sz w:val="20"/>
          <w:szCs w:val="20"/>
          <w:color w:val="auto"/>
        </w:rPr>
      </w:pPr>
    </w:p>
    <w:p>
      <w:pPr>
        <w:sectPr>
          <w:pgSz w:w="11900" w:h="16838" w:orient="portrait"/>
          <w:cols w:equalWidth="0" w:num="2">
            <w:col w:w="2440" w:space="160"/>
            <w:col w:w="6419"/>
          </w:cols>
          <w:pgMar w:left="1440" w:top="104" w:right="1440" w:bottom="1440" w:gutter="0" w:footer="0" w:header="0"/>
          <w:type w:val="continuous"/>
        </w:sectPr>
      </w:pPr>
    </w:p>
    <w:p>
      <w:pPr>
        <w:ind w:left="2760"/>
        <w:spacing w:after="0"/>
        <w:tabs>
          <w:tab w:leader="none" w:pos="5260" w:val="left"/>
          <w:tab w:leader="none" w:pos="5820" w:val="left"/>
          <w:tab w:leader="none" w:pos="6360" w:val="left"/>
          <w:tab w:leader="none" w:pos="6640" w:val="left"/>
          <w:tab w:leader="none" w:pos="7340" w:val="left"/>
        </w:tabs>
        <w:rPr>
          <w:sz w:val="20"/>
          <w:szCs w:val="20"/>
          <w:color w:val="auto"/>
        </w:rPr>
      </w:pPr>
      <w:r>
        <w:rPr>
          <w:rFonts w:ascii="Times New Roman" w:cs="Times New Roman" w:eastAsia="Times New Roman" w:hAnsi="Times New Roman"/>
          <w:sz w:val="14"/>
          <w:szCs w:val="14"/>
          <w:color w:val="auto"/>
        </w:rPr>
        <w:t>a derivative action may not be brought</w:t>
        <w:tab/>
        <w:t>things,</w:t>
        <w:tab/>
        <w:t>breach</w:t>
        <w:tab/>
        <w:t>of</w:t>
        <w:tab/>
        <w:t>fiduciary</w:t>
      </w:r>
      <w:r>
        <w:rPr>
          <w:sz w:val="20"/>
          <w:szCs w:val="20"/>
          <w:color w:val="auto"/>
        </w:rPr>
        <w:tab/>
      </w:r>
      <w:r>
        <w:rPr>
          <w:rFonts w:ascii="Times New Roman" w:cs="Times New Roman" w:eastAsia="Times New Roman" w:hAnsi="Times New Roman"/>
          <w:sz w:val="13"/>
          <w:szCs w:val="13"/>
          <w:color w:val="auto"/>
        </w:rPr>
        <w:t>duty,</w:t>
      </w:r>
    </w:p>
    <w:p>
      <w:pPr>
        <w:ind w:left="2760"/>
        <w:spacing w:after="0" w:line="231" w:lineRule="auto"/>
        <w:tabs>
          <w:tab w:leader="none" w:pos="5260" w:val="left"/>
        </w:tabs>
        <w:rPr>
          <w:sz w:val="20"/>
          <w:szCs w:val="20"/>
          <w:color w:val="auto"/>
        </w:rPr>
      </w:pPr>
      <w:r>
        <w:rPr>
          <w:rFonts w:ascii="Times New Roman" w:cs="Times New Roman" w:eastAsia="Times New Roman" w:hAnsi="Times New Roman"/>
          <w:sz w:val="14"/>
          <w:szCs w:val="14"/>
          <w:color w:val="auto"/>
        </w:rPr>
        <w:t>by  a  minority  shareholder.  However,</w:t>
        <w:tab/>
        <w:t>corporate waste and actions not taken in</w:t>
      </w:r>
    </w:p>
    <w:p>
      <w:pPr>
        <w:ind w:left="2760"/>
        <w:spacing w:after="0" w:line="231" w:lineRule="auto"/>
        <w:tabs>
          <w:tab w:leader="none" w:pos="3180" w:val="left"/>
          <w:tab w:leader="none" w:pos="3420" w:val="left"/>
          <w:tab w:leader="none" w:pos="3980" w:val="left"/>
          <w:tab w:leader="none" w:pos="4740" w:val="left"/>
          <w:tab w:leader="none" w:pos="5260" w:val="left"/>
        </w:tabs>
        <w:rPr>
          <w:sz w:val="20"/>
          <w:szCs w:val="20"/>
          <w:color w:val="auto"/>
        </w:rPr>
      </w:pPr>
      <w:r>
        <w:rPr>
          <w:rFonts w:ascii="Times New Roman" w:cs="Times New Roman" w:eastAsia="Times New Roman" w:hAnsi="Times New Roman"/>
          <w:sz w:val="14"/>
          <w:szCs w:val="14"/>
          <w:color w:val="auto"/>
        </w:rPr>
        <w:t>based</w:t>
        <w:tab/>
        <w:t>on</w:t>
        <w:tab/>
        <w:t>English</w:t>
        <w:tab/>
        <w:t>authorities,</w:t>
        <w:tab/>
        <w:t>which</w:t>
        <w:tab/>
        <w:t>accordance with applicable law. In such</w:t>
      </w:r>
    </w:p>
    <w:p>
      <w:pPr>
        <w:ind w:left="2760"/>
        <w:spacing w:after="0" w:line="231" w:lineRule="auto"/>
        <w:tabs>
          <w:tab w:leader="none" w:pos="5260" w:val="left"/>
          <w:tab w:leader="none" w:pos="5880" w:val="left"/>
          <w:tab w:leader="none" w:pos="6240" w:val="left"/>
          <w:tab w:leader="none" w:pos="6720" w:val="left"/>
          <w:tab w:leader="none" w:pos="7420" w:val="left"/>
        </w:tabs>
        <w:rPr>
          <w:sz w:val="20"/>
          <w:szCs w:val="20"/>
          <w:color w:val="auto"/>
        </w:rPr>
      </w:pPr>
      <w:r>
        <w:rPr>
          <w:rFonts w:ascii="Times New Roman" w:cs="Times New Roman" w:eastAsia="Times New Roman" w:hAnsi="Times New Roman"/>
          <w:sz w:val="14"/>
          <w:szCs w:val="14"/>
          <w:color w:val="auto"/>
        </w:rPr>
        <w:t>would in all likelihood be of persuasive</w:t>
        <w:tab/>
        <w:t>actions,</w:t>
        <w:tab/>
        <w:t>the</w:t>
        <w:tab/>
        <w:t>court</w:t>
        <w:tab/>
        <w:t>generally</w:t>
        <w:tab/>
        <w:t>has</w:t>
      </w:r>
    </w:p>
    <w:p>
      <w:pPr>
        <w:ind w:left="2760"/>
        <w:spacing w:after="0" w:line="232" w:lineRule="auto"/>
        <w:tabs>
          <w:tab w:leader="none" w:pos="5260" w:val="left"/>
        </w:tabs>
        <w:rPr>
          <w:sz w:val="20"/>
          <w:szCs w:val="20"/>
          <w:color w:val="auto"/>
        </w:rPr>
      </w:pPr>
      <w:r>
        <w:rPr>
          <w:rFonts w:ascii="Times New Roman" w:cs="Times New Roman" w:eastAsia="Times New Roman" w:hAnsi="Times New Roman"/>
          <w:sz w:val="14"/>
          <w:szCs w:val="14"/>
          <w:color w:val="auto"/>
        </w:rPr>
        <w:t>authority  in  the  Cayman  Islands,  the</w:t>
        <w:tab/>
        <w:t>discretion to permit a winning plaintiff</w:t>
      </w:r>
    </w:p>
    <w:p>
      <w:pPr>
        <w:ind w:left="2760"/>
        <w:spacing w:after="0" w:line="231" w:lineRule="auto"/>
        <w:tabs>
          <w:tab w:leader="none" w:pos="5260" w:val="left"/>
        </w:tabs>
        <w:rPr>
          <w:sz w:val="20"/>
          <w:szCs w:val="20"/>
          <w:color w:val="auto"/>
        </w:rPr>
      </w:pPr>
      <w:r>
        <w:rPr>
          <w:rFonts w:ascii="Times New Roman" w:cs="Times New Roman" w:eastAsia="Times New Roman" w:hAnsi="Times New Roman"/>
          <w:sz w:val="14"/>
          <w:szCs w:val="14"/>
          <w:color w:val="auto"/>
        </w:rPr>
        <w:t>Cayman Islands court can be expected</w:t>
        <w:tab/>
        <w:t>to recover attorneys’ fees incurred in</w:t>
      </w:r>
    </w:p>
    <w:p>
      <w:pPr>
        <w:ind w:left="2760"/>
        <w:spacing w:after="0" w:line="231" w:lineRule="auto"/>
        <w:tabs>
          <w:tab w:leader="none" w:pos="5260" w:val="left"/>
        </w:tabs>
        <w:rPr>
          <w:sz w:val="20"/>
          <w:szCs w:val="20"/>
          <w:color w:val="auto"/>
        </w:rPr>
      </w:pPr>
      <w:r>
        <w:rPr>
          <w:rFonts w:ascii="Times New Roman" w:cs="Times New Roman" w:eastAsia="Times New Roman" w:hAnsi="Times New Roman"/>
          <w:sz w:val="14"/>
          <w:szCs w:val="14"/>
          <w:color w:val="auto"/>
        </w:rPr>
        <w:t>to follow and apply the common law</w:t>
        <w:tab/>
        <w:t>connection with such action.</w:t>
      </w:r>
    </w:p>
    <w:p>
      <w:pPr>
        <w:ind w:left="2760"/>
        <w:spacing w:after="0" w:line="232" w:lineRule="auto"/>
        <w:rPr>
          <w:sz w:val="20"/>
          <w:szCs w:val="20"/>
          <w:color w:val="auto"/>
        </w:rPr>
      </w:pPr>
      <w:r>
        <w:rPr>
          <w:rFonts w:ascii="Times New Roman" w:cs="Times New Roman" w:eastAsia="Times New Roman" w:hAnsi="Times New Roman"/>
          <w:sz w:val="14"/>
          <w:szCs w:val="14"/>
          <w:color w:val="auto"/>
        </w:rPr>
        <w:t>principles (namely the rule in Foss v.</w:t>
      </w:r>
    </w:p>
    <w:p>
      <w:pPr>
        <w:ind w:left="2760"/>
        <w:spacing w:after="0" w:line="231" w:lineRule="auto"/>
        <w:rPr>
          <w:sz w:val="20"/>
          <w:szCs w:val="20"/>
          <w:color w:val="auto"/>
        </w:rPr>
      </w:pPr>
      <w:r>
        <w:rPr>
          <w:rFonts w:ascii="Times New Roman" w:cs="Times New Roman" w:eastAsia="Times New Roman" w:hAnsi="Times New Roman"/>
          <w:sz w:val="14"/>
          <w:szCs w:val="14"/>
          <w:color w:val="auto"/>
        </w:rPr>
        <w:t>Harbottle and the exceptions thereto) so</w:t>
      </w:r>
    </w:p>
    <w:p>
      <w:pPr>
        <w:ind w:left="2760"/>
        <w:spacing w:after="0" w:line="231" w:lineRule="auto"/>
        <w:rPr>
          <w:sz w:val="20"/>
          <w:szCs w:val="20"/>
          <w:color w:val="auto"/>
        </w:rPr>
      </w:pPr>
      <w:r>
        <w:rPr>
          <w:rFonts w:ascii="Times New Roman" w:cs="Times New Roman" w:eastAsia="Times New Roman" w:hAnsi="Times New Roman"/>
          <w:sz w:val="14"/>
          <w:szCs w:val="14"/>
          <w:color w:val="auto"/>
        </w:rPr>
        <w:t>that a non-controlling shareholder may</w:t>
      </w:r>
    </w:p>
    <w:p>
      <w:pPr>
        <w:ind w:left="2760"/>
        <w:spacing w:after="0" w:line="231" w:lineRule="auto"/>
        <w:rPr>
          <w:sz w:val="20"/>
          <w:szCs w:val="20"/>
          <w:color w:val="auto"/>
        </w:rPr>
      </w:pPr>
      <w:r>
        <w:rPr>
          <w:rFonts w:ascii="Times New Roman" w:cs="Times New Roman" w:eastAsia="Times New Roman" w:hAnsi="Times New Roman"/>
          <w:sz w:val="14"/>
          <w:szCs w:val="14"/>
          <w:color w:val="auto"/>
        </w:rPr>
        <w:t>be permitted to commence a class action</w:t>
      </w:r>
    </w:p>
    <w:p>
      <w:pPr>
        <w:ind w:left="2760"/>
        <w:spacing w:after="0" w:line="232" w:lineRule="auto"/>
        <w:rPr>
          <w:sz w:val="20"/>
          <w:szCs w:val="20"/>
          <w:color w:val="auto"/>
        </w:rPr>
      </w:pPr>
      <w:r>
        <w:rPr>
          <w:rFonts w:ascii="Times New Roman" w:cs="Times New Roman" w:eastAsia="Times New Roman" w:hAnsi="Times New Roman"/>
          <w:sz w:val="14"/>
          <w:szCs w:val="14"/>
          <w:color w:val="auto"/>
        </w:rPr>
        <w:t>against or derivative actions in the name</w:t>
      </w:r>
    </w:p>
    <w:p>
      <w:pPr>
        <w:ind w:left="2760"/>
        <w:spacing w:after="0" w:line="231" w:lineRule="auto"/>
        <w:rPr>
          <w:sz w:val="20"/>
          <w:szCs w:val="20"/>
          <w:color w:val="auto"/>
        </w:rPr>
      </w:pPr>
      <w:r>
        <w:rPr>
          <w:rFonts w:ascii="Times New Roman" w:cs="Times New Roman" w:eastAsia="Times New Roman" w:hAnsi="Times New Roman"/>
          <w:sz w:val="14"/>
          <w:szCs w:val="14"/>
          <w:color w:val="auto"/>
        </w:rPr>
        <w:t>of  the  company  to  challenge  actions</w:t>
      </w:r>
    </w:p>
    <w:p>
      <w:pPr>
        <w:ind w:left="2760"/>
        <w:spacing w:after="0"/>
        <w:rPr>
          <w:sz w:val="20"/>
          <w:szCs w:val="20"/>
          <w:color w:val="auto"/>
        </w:rPr>
      </w:pPr>
      <w:r>
        <w:rPr>
          <w:rFonts w:ascii="Times New Roman" w:cs="Times New Roman" w:eastAsia="Times New Roman" w:hAnsi="Times New Roman"/>
          <w:sz w:val="14"/>
          <w:szCs w:val="14"/>
          <w:color w:val="auto"/>
        </w:rPr>
        <w:t>where:</w:t>
      </w:r>
    </w:p>
    <w:p>
      <w:pPr>
        <w:spacing w:after="0" w:line="84" w:lineRule="exact"/>
        <w:rPr>
          <w:sz w:val="20"/>
          <w:szCs w:val="20"/>
          <w:color w:val="auto"/>
        </w:rPr>
      </w:pPr>
    </w:p>
    <w:p>
      <w:pPr>
        <w:ind w:left="2900" w:right="3899" w:hanging="144"/>
        <w:spacing w:after="0" w:line="257" w:lineRule="auto"/>
        <w:tabs>
          <w:tab w:leader="none" w:pos="2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acts or proposes to act illegally or ultra vires;</w:t>
      </w:r>
    </w:p>
    <w:p>
      <w:pPr>
        <w:spacing w:after="0" w:line="68" w:lineRule="exact"/>
        <w:rPr>
          <w:rFonts w:ascii="Times New Roman" w:cs="Times New Roman" w:eastAsia="Times New Roman" w:hAnsi="Times New Roman"/>
          <w:sz w:val="14"/>
          <w:szCs w:val="14"/>
          <w:color w:val="auto"/>
        </w:rPr>
      </w:pPr>
    </w:p>
    <w:p>
      <w:pPr>
        <w:jc w:val="both"/>
        <w:ind w:left="2900" w:right="3919" w:hanging="144"/>
        <w:spacing w:after="0" w:line="238" w:lineRule="auto"/>
        <w:tabs>
          <w:tab w:leader="none" w:pos="2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4"/>
          <w:szCs w:val="14"/>
          <w:color w:val="auto"/>
        </w:rPr>
      </w:pPr>
    </w:p>
    <w:p>
      <w:pPr>
        <w:jc w:val="both"/>
        <w:ind w:left="2900" w:right="3919" w:hanging="144"/>
        <w:spacing w:after="0"/>
        <w:tabs>
          <w:tab w:leader="none" w:pos="2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who control the company are perpetrating a “fraud on the minority.”</w:t>
      </w:r>
    </w:p>
    <w:p>
      <w:pPr>
        <w:spacing w:after="0" w:line="15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Indemnification of</w:t>
            </w:r>
          </w:p>
        </w:tc>
        <w:tc>
          <w:tcPr>
            <w:tcW w:w="3760" w:type="dxa"/>
            <w:vAlign w:val="bottom"/>
            <w:gridSpan w:val="9"/>
          </w:tcPr>
          <w:p>
            <w:pPr>
              <w:jc w:val="center"/>
              <w:ind w:right="11"/>
              <w:spacing w:after="0"/>
              <w:rPr>
                <w:sz w:val="20"/>
                <w:szCs w:val="20"/>
                <w:color w:val="auto"/>
              </w:rPr>
            </w:pPr>
            <w:r>
              <w:rPr>
                <w:rFonts w:ascii="Times New Roman" w:cs="Times New Roman" w:eastAsia="Times New Roman" w:hAnsi="Times New Roman"/>
                <w:sz w:val="14"/>
                <w:szCs w:val="14"/>
                <w:color w:val="auto"/>
              </w:rPr>
              <w:t>​ ​ Cayman Islands law does not limit the​ ​ A  corporation</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has</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power</w:t>
            </w:r>
          </w:p>
        </w:tc>
        <w:tc>
          <w:tcPr>
            <w:tcW w:w="118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rPr>
              <w:t>to​</w:t>
            </w:r>
          </w:p>
        </w:tc>
      </w:tr>
      <w:tr>
        <w:trPr>
          <w:trHeight w:val="155"/>
        </w:trPr>
        <w:tc>
          <w:tcPr>
            <w:tcW w:w="2160" w:type="dxa"/>
            <w:vAlign w:val="bottom"/>
          </w:tcPr>
          <w:p>
            <w:pPr>
              <w:ind w:left="110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Directors and</w:t>
            </w:r>
          </w:p>
        </w:tc>
        <w:tc>
          <w:tcPr>
            <w:tcW w:w="6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extent</w:t>
            </w:r>
          </w:p>
        </w:tc>
        <w:tc>
          <w:tcPr>
            <w:tcW w:w="28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to</w:t>
            </w:r>
          </w:p>
        </w:tc>
        <w:tc>
          <w:tcPr>
            <w:tcW w:w="5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which</w:t>
            </w:r>
          </w:p>
        </w:tc>
        <w:tc>
          <w:tcPr>
            <w:tcW w:w="2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w w:val="95"/>
              </w:rPr>
              <w:t>a</w:t>
            </w:r>
          </w:p>
        </w:tc>
        <w:tc>
          <w:tcPr>
            <w:tcW w:w="900" w:type="dxa"/>
            <w:vAlign w:val="bottom"/>
            <w:gridSpan w:val="2"/>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company’s</w:t>
            </w:r>
          </w:p>
        </w:tc>
        <w:tc>
          <w:tcPr>
            <w:tcW w:w="72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indemnify</w:t>
            </w:r>
          </w:p>
        </w:tc>
        <w:tc>
          <w:tcPr>
            <w:tcW w:w="400" w:type="dxa"/>
            <w:vAlign w:val="bottom"/>
          </w:tcPr>
          <w:p>
            <w:pPr>
              <w:jc w:val="center"/>
              <w:ind w:left="91"/>
              <w:spacing w:after="0" w:line="155" w:lineRule="exact"/>
              <w:rPr>
                <w:sz w:val="20"/>
                <w:szCs w:val="20"/>
                <w:color w:val="auto"/>
              </w:rPr>
            </w:pPr>
            <w:r>
              <w:rPr>
                <w:rFonts w:ascii="Times New Roman" w:cs="Times New Roman" w:eastAsia="Times New Roman" w:hAnsi="Times New Roman"/>
                <w:sz w:val="14"/>
                <w:szCs w:val="14"/>
                <w:color w:val="auto"/>
                <w:w w:val="98"/>
              </w:rPr>
              <w:t>any</w:t>
            </w:r>
          </w:p>
        </w:tc>
        <w:tc>
          <w:tcPr>
            <w:tcW w:w="6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color w:val="auto"/>
                <w:w w:val="97"/>
              </w:rPr>
              <w:t>director,</w:t>
            </w:r>
          </w:p>
        </w:tc>
        <w:tc>
          <w:tcPr>
            <w:tcW w:w="1600" w:type="dxa"/>
            <w:vAlign w:val="bottom"/>
            <w:gridSpan w:val="2"/>
          </w:tcPr>
          <w:p>
            <w:pPr>
              <w:jc w:val="right"/>
              <w:ind w:right="891"/>
              <w:spacing w:after="0" w:line="155" w:lineRule="exact"/>
              <w:rPr>
                <w:sz w:val="20"/>
                <w:szCs w:val="20"/>
                <w:color w:val="auto"/>
              </w:rPr>
            </w:pPr>
            <w:r>
              <w:rPr>
                <w:rFonts w:ascii="Times New Roman" w:cs="Times New Roman" w:eastAsia="Times New Roman" w:hAnsi="Times New Roman"/>
                <w:sz w:val="14"/>
                <w:szCs w:val="14"/>
                <w:color w:val="auto"/>
              </w:rPr>
              <w:t>officer,</w:t>
            </w:r>
          </w:p>
        </w:tc>
      </w:tr>
      <w:tr>
        <w:trPr>
          <w:trHeight w:val="165"/>
        </w:trPr>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i w:val="1"/>
                <w:iCs w:val="1"/>
                <w:color w:val="auto"/>
                <w:w w:val="97"/>
              </w:rPr>
              <w:t>Executive Officers</w:t>
            </w:r>
          </w:p>
        </w:tc>
        <w:tc>
          <w:tcPr>
            <w:tcW w:w="26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memorandum and articles of association</w:t>
            </w: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employee, or agent of the corporation</w:t>
            </w:r>
          </w:p>
        </w:tc>
      </w:tr>
      <w:tr>
        <w:trPr>
          <w:trHeight w:val="155"/>
        </w:trPr>
        <w:tc>
          <w:tcPr>
            <w:tcW w:w="2160" w:type="dxa"/>
            <w:vAlign w:val="bottom"/>
          </w:tcPr>
          <w:p>
            <w:pPr>
              <w:ind w:left="110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and Limitation of</w:t>
            </w: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may  provide  for  indemnification  of</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who was, is or is threatened to be made</w:t>
            </w:r>
          </w:p>
        </w:tc>
      </w:tr>
      <w:tr>
        <w:trPr>
          <w:trHeight w:val="159"/>
        </w:trPr>
        <w:tc>
          <w:tcPr>
            <w:tcW w:w="2160" w:type="dxa"/>
            <w:vAlign w:val="bottom"/>
          </w:tcPr>
          <w:p>
            <w:pPr>
              <w:ind w:left="110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Liability</w:t>
            </w:r>
          </w:p>
        </w:tc>
        <w:tc>
          <w:tcPr>
            <w:tcW w:w="2640" w:type="dxa"/>
            <w:vAlign w:val="bottom"/>
            <w:gridSpan w:val="7"/>
          </w:tcPr>
          <w:p>
            <w:pPr>
              <w:ind w:left="200"/>
              <w:spacing w:after="0" w:line="159" w:lineRule="exact"/>
              <w:rPr>
                <w:sz w:val="20"/>
                <w:szCs w:val="20"/>
                <w:color w:val="auto"/>
              </w:rPr>
            </w:pPr>
            <w:r>
              <w:rPr>
                <w:rFonts w:ascii="Times New Roman" w:cs="Times New Roman" w:eastAsia="Times New Roman" w:hAnsi="Times New Roman"/>
                <w:sz w:val="14"/>
                <w:szCs w:val="14"/>
                <w:color w:val="auto"/>
              </w:rPr>
              <w:t>officers  and  directors,  except  to  the</w:t>
            </w:r>
          </w:p>
        </w:tc>
        <w:tc>
          <w:tcPr>
            <w:tcW w:w="3400" w:type="dxa"/>
            <w:vAlign w:val="bottom"/>
            <w:gridSpan w:val="6"/>
          </w:tcPr>
          <w:p>
            <w:pPr>
              <w:ind w:left="80"/>
              <w:spacing w:after="0" w:line="159" w:lineRule="exact"/>
              <w:rPr>
                <w:sz w:val="20"/>
                <w:szCs w:val="20"/>
                <w:color w:val="auto"/>
              </w:rPr>
            </w:pPr>
            <w:r>
              <w:rPr>
                <w:rFonts w:ascii="Times New Roman" w:cs="Times New Roman" w:eastAsia="Times New Roman" w:hAnsi="Times New Roman"/>
                <w:sz w:val="14"/>
                <w:szCs w:val="14"/>
                <w:color w:val="auto"/>
              </w:rPr>
              <w:t>a party to an action, suit or proceeding</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extent any such provision may be held</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who acted in good faith and in a manner</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by  the  Cayman  Islands  courts  to  be</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they believed to be in the best interests</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contrary to public policy, such as to</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of the corporation, and if with respect to</w:t>
            </w:r>
          </w:p>
        </w:tc>
      </w:tr>
      <w:tr>
        <w:trPr>
          <w:trHeight w:val="155"/>
        </w:trPr>
        <w:tc>
          <w:tcPr>
            <w:tcW w:w="2160" w:type="dxa"/>
            <w:vAlign w:val="bottom"/>
          </w:tcPr>
          <w:p>
            <w:pPr>
              <w:spacing w:after="0"/>
              <w:rPr>
                <w:sz w:val="13"/>
                <w:szCs w:val="13"/>
                <w:color w:val="auto"/>
              </w:rPr>
            </w:pPr>
          </w:p>
        </w:tc>
        <w:tc>
          <w:tcPr>
            <w:tcW w:w="6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provide</w:t>
            </w:r>
          </w:p>
        </w:tc>
        <w:tc>
          <w:tcPr>
            <w:tcW w:w="106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color w:val="auto"/>
              </w:rPr>
              <w:t>indemnification</w:t>
            </w:r>
          </w:p>
        </w:tc>
        <w:tc>
          <w:tcPr>
            <w:tcW w:w="52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against</w:t>
            </w:r>
          </w:p>
        </w:tc>
        <w:tc>
          <w:tcPr>
            <w:tcW w:w="38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civil</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a   criminal   proceeding,   had   no</w:t>
            </w:r>
          </w:p>
        </w:tc>
      </w:tr>
      <w:tr>
        <w:trPr>
          <w:trHeight w:val="155"/>
        </w:trPr>
        <w:tc>
          <w:tcPr>
            <w:tcW w:w="2160" w:type="dxa"/>
            <w:vAlign w:val="bottom"/>
          </w:tcPr>
          <w:p>
            <w:pPr>
              <w:spacing w:after="0"/>
              <w:rPr>
                <w:sz w:val="13"/>
                <w:szCs w:val="13"/>
                <w:color w:val="auto"/>
              </w:rPr>
            </w:pPr>
          </w:p>
        </w:tc>
        <w:tc>
          <w:tcPr>
            <w:tcW w:w="6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fraud</w:t>
            </w:r>
          </w:p>
        </w:tc>
        <w:tc>
          <w:tcPr>
            <w:tcW w:w="28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or</w:t>
            </w:r>
          </w:p>
        </w:tc>
        <w:tc>
          <w:tcPr>
            <w:tcW w:w="3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the</w:t>
            </w:r>
          </w:p>
        </w:tc>
        <w:tc>
          <w:tcPr>
            <w:tcW w:w="9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color w:val="auto"/>
              </w:rPr>
              <w:t>consequences</w:t>
            </w:r>
          </w:p>
        </w:tc>
        <w:tc>
          <w:tcPr>
            <w:tcW w:w="38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reasonable cause to believe his or her</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committing a crime. Our Amended and</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conduct  would  be  unlawful,  against</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Restated Memorandum and Articles of</w:t>
            </w:r>
          </w:p>
        </w:tc>
        <w:tc>
          <w:tcPr>
            <w:tcW w:w="72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amounts</w:t>
            </w:r>
          </w:p>
        </w:tc>
        <w:tc>
          <w:tcPr>
            <w:tcW w:w="680" w:type="dxa"/>
            <w:vAlign w:val="bottom"/>
            <w:gridSpan w:val="2"/>
          </w:tcPr>
          <w:p>
            <w:pPr>
              <w:jc w:val="center"/>
              <w:ind w:right="71"/>
              <w:spacing w:after="0" w:line="155" w:lineRule="exact"/>
              <w:rPr>
                <w:sz w:val="20"/>
                <w:szCs w:val="20"/>
                <w:color w:val="auto"/>
              </w:rPr>
            </w:pPr>
            <w:r>
              <w:rPr>
                <w:rFonts w:ascii="Times New Roman" w:cs="Times New Roman" w:eastAsia="Times New Roman" w:hAnsi="Times New Roman"/>
                <w:sz w:val="14"/>
                <w:szCs w:val="14"/>
                <w:color w:val="auto"/>
              </w:rPr>
              <w:t>actually</w:t>
            </w:r>
          </w:p>
        </w:tc>
        <w:tc>
          <w:tcPr>
            <w:tcW w:w="4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and</w:t>
            </w:r>
          </w:p>
        </w:tc>
        <w:tc>
          <w:tcPr>
            <w:tcW w:w="1600" w:type="dxa"/>
            <w:vAlign w:val="bottom"/>
            <w:gridSpan w:val="2"/>
          </w:tcPr>
          <w:p>
            <w:pPr>
              <w:jc w:val="right"/>
              <w:ind w:right="891"/>
              <w:spacing w:after="0" w:line="155" w:lineRule="exact"/>
              <w:rPr>
                <w:sz w:val="20"/>
                <w:szCs w:val="20"/>
                <w:color w:val="auto"/>
              </w:rPr>
            </w:pPr>
            <w:r>
              <w:rPr>
                <w:rFonts w:ascii="Times New Roman" w:cs="Times New Roman" w:eastAsia="Times New Roman" w:hAnsi="Times New Roman"/>
                <w:sz w:val="14"/>
                <w:szCs w:val="14"/>
                <w:color w:val="auto"/>
              </w:rPr>
              <w:t>reasonably</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Association  provide  that  we  shall</w:t>
            </w:r>
          </w:p>
        </w:tc>
        <w:tc>
          <w:tcPr>
            <w:tcW w:w="72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incurred.</w:t>
            </w:r>
          </w:p>
        </w:tc>
        <w:tc>
          <w:tcPr>
            <w:tcW w:w="150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color w:val="auto"/>
              </w:rPr>
              <w:t>Additionally,   under</w:t>
            </w:r>
          </w:p>
        </w:tc>
        <w:tc>
          <w:tcPr>
            <w:tcW w:w="1180" w:type="dxa"/>
            <w:vAlign w:val="bottom"/>
          </w:tcPr>
          <w:p>
            <w:pPr>
              <w:jc w:val="right"/>
              <w:ind w:right="891"/>
              <w:spacing w:after="0" w:line="155" w:lineRule="exact"/>
              <w:rPr>
                <w:sz w:val="20"/>
                <w:szCs w:val="20"/>
                <w:color w:val="auto"/>
              </w:rPr>
            </w:pPr>
            <w:r>
              <w:rPr>
                <w:rFonts w:ascii="Times New Roman" w:cs="Times New Roman" w:eastAsia="Times New Roman" w:hAnsi="Times New Roman"/>
                <w:sz w:val="14"/>
                <w:szCs w:val="14"/>
                <w:color w:val="auto"/>
              </w:rPr>
              <w:t>the</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indemnify  our  directors  and  officers,</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Delaware General Corporation Law, a</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against all actions, proceedings, costs,</w:t>
            </w:r>
          </w:p>
        </w:tc>
        <w:tc>
          <w:tcPr>
            <w:tcW w:w="72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corporation</w:t>
            </w:r>
          </w:p>
        </w:tc>
        <w:tc>
          <w:tcPr>
            <w:tcW w:w="40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must</w:t>
            </w:r>
          </w:p>
        </w:tc>
        <w:tc>
          <w:tcPr>
            <w:tcW w:w="1600" w:type="dxa"/>
            <w:vAlign w:val="bottom"/>
            <w:gridSpan w:val="2"/>
          </w:tcPr>
          <w:p>
            <w:pPr>
              <w:jc w:val="right"/>
              <w:ind w:right="891"/>
              <w:spacing w:after="0" w:line="155" w:lineRule="exact"/>
              <w:rPr>
                <w:sz w:val="20"/>
                <w:szCs w:val="20"/>
                <w:color w:val="auto"/>
              </w:rPr>
            </w:pPr>
            <w:r>
              <w:rPr>
                <w:rFonts w:ascii="Times New Roman" w:cs="Times New Roman" w:eastAsia="Times New Roman" w:hAnsi="Times New Roman"/>
                <w:sz w:val="14"/>
                <w:szCs w:val="14"/>
                <w:color w:val="auto"/>
              </w:rPr>
              <w:t>indemnify</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charges, expenses, losses, damages or</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its  present  or  former  directors  and</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liabilities incurred or sustained by such</w:t>
            </w:r>
          </w:p>
        </w:tc>
        <w:tc>
          <w:tcPr>
            <w:tcW w:w="11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color w:val="auto"/>
              </w:rPr>
              <w:t>officers  against</w:t>
            </w:r>
          </w:p>
        </w:tc>
        <w:tc>
          <w:tcPr>
            <w:tcW w:w="6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color w:val="auto"/>
              </w:rPr>
              <w:t>expenses</w:t>
            </w:r>
          </w:p>
        </w:tc>
        <w:tc>
          <w:tcPr>
            <w:tcW w:w="1600" w:type="dxa"/>
            <w:vAlign w:val="bottom"/>
            <w:gridSpan w:val="2"/>
          </w:tcPr>
          <w:p>
            <w:pPr>
              <w:jc w:val="right"/>
              <w:ind w:right="891"/>
              <w:spacing w:after="0" w:line="155" w:lineRule="exact"/>
              <w:rPr>
                <w:sz w:val="20"/>
                <w:szCs w:val="20"/>
                <w:color w:val="auto"/>
              </w:rPr>
            </w:pPr>
            <w:r>
              <w:rPr>
                <w:rFonts w:ascii="Times New Roman" w:cs="Times New Roman" w:eastAsia="Times New Roman" w:hAnsi="Times New Roman"/>
                <w:sz w:val="14"/>
                <w:szCs w:val="14"/>
                <w:color w:val="auto"/>
              </w:rPr>
              <w:t>(including</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directors or officer, other than by reason</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attorneys’ fees) actually and reasonably</w:t>
            </w:r>
          </w:p>
        </w:tc>
      </w:tr>
      <w:tr>
        <w:trPr>
          <w:trHeight w:val="165"/>
        </w:trPr>
        <w:tc>
          <w:tcPr>
            <w:tcW w:w="2160" w:type="dxa"/>
            <w:vAlign w:val="bottom"/>
          </w:tcPr>
          <w:p>
            <w:pPr>
              <w:spacing w:after="0"/>
              <w:rPr>
                <w:sz w:val="14"/>
                <w:szCs w:val="14"/>
                <w:color w:val="auto"/>
              </w:rPr>
            </w:pPr>
          </w:p>
        </w:tc>
        <w:tc>
          <w:tcPr>
            <w:tcW w:w="26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of  such  person’s  dishonesty,  willful</w:t>
            </w: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incurred to the extent that the officer or</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default or fraud, in or about the conduct</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director  has  been  successful  on  the</w:t>
            </w:r>
          </w:p>
        </w:tc>
      </w:tr>
      <w:tr>
        <w:trPr>
          <w:trHeight w:val="155"/>
        </w:trPr>
        <w:tc>
          <w:tcPr>
            <w:tcW w:w="2160" w:type="dxa"/>
            <w:vAlign w:val="bottom"/>
          </w:tcPr>
          <w:p>
            <w:pPr>
              <w:spacing w:after="0"/>
              <w:rPr>
                <w:sz w:val="13"/>
                <w:szCs w:val="13"/>
                <w:color w:val="auto"/>
              </w:rPr>
            </w:pPr>
          </w:p>
        </w:tc>
        <w:tc>
          <w:tcPr>
            <w:tcW w:w="264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color w:val="auto"/>
              </w:rPr>
              <w:t>of our company’s business or affairs</w:t>
            </w:r>
          </w:p>
        </w:tc>
        <w:tc>
          <w:tcPr>
            <w:tcW w:w="340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color w:val="auto"/>
              </w:rPr>
              <w:t>merits or otherwise in defense of any</w:t>
            </w:r>
          </w:p>
        </w:tc>
      </w:tr>
      <w:tr>
        <w:trPr>
          <w:trHeight w:val="179"/>
        </w:trPr>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action, suit</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652"/>
        </w:trPr>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0"/>
        </w:trPr>
        <w:tc>
          <w:tcPr>
            <w:tcW w:w="2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-25400</wp:posOffset>
            </wp:positionV>
            <wp:extent cx="3175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-25400</wp:posOffset>
            </wp:positionV>
            <wp:extent cx="3175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4" w:name="page35"/>
    <w:bookmarkEnd w:id="3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00" w:lineRule="exact"/>
        <w:rPr>
          <w:sz w:val="20"/>
          <w:szCs w:val="20"/>
          <w:color w:val="auto"/>
        </w:rPr>
      </w:pPr>
    </w:p>
    <w:p>
      <w:pPr>
        <w:jc w:val="both"/>
        <w:ind w:left="1360"/>
        <w:spacing w:after="0"/>
        <w:tabs>
          <w:tab w:leader="none" w:pos="1960" w:val="left"/>
          <w:tab w:leader="none" w:pos="2620" w:val="left"/>
          <w:tab w:leader="none" w:pos="3540" w:val="left"/>
          <w:tab w:leader="none" w:pos="5140" w:val="left"/>
          <w:tab w:leader="none" w:pos="6220" w:val="left"/>
          <w:tab w:leader="none" w:pos="762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Cayman Islands</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24130</wp:posOffset>
            </wp:positionV>
            <wp:extent cx="309943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Directors’ Fiduciary</w:t>
      </w:r>
    </w:p>
    <w:p>
      <w:pPr>
        <w:spacing w:after="0" w:line="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Duties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(including as a result of any mistake of​ ​ or proceeding brought against him or​</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judgment)</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execution</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or</w:t>
            </w:r>
          </w:p>
        </w:tc>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her by reason of the fact that he or she is</w:t>
            </w: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discharge</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of</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his</w:t>
            </w: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duties,</w:t>
            </w:r>
          </w:p>
        </w:tc>
        <w:tc>
          <w:tcPr>
            <w:tcW w:w="6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powers,</w:t>
            </w:r>
          </w:p>
        </w:tc>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or  was  a  director  or  officer  of  the</w:t>
            </w:r>
          </w:p>
        </w:tc>
      </w:tr>
      <w:tr>
        <w:trPr>
          <w:trHeight w:val="155"/>
        </w:trPr>
        <w:tc>
          <w:tcPr>
            <w:tcW w:w="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authorities</w:t>
            </w:r>
          </w:p>
        </w:tc>
        <w:tc>
          <w:tcPr>
            <w:tcW w:w="28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or</w:t>
            </w:r>
          </w:p>
        </w:tc>
        <w:tc>
          <w:tcPr>
            <w:tcW w:w="8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discretions,</w:t>
            </w:r>
          </w:p>
        </w:tc>
        <w:tc>
          <w:tcPr>
            <w:tcW w:w="680" w:type="dxa"/>
            <w:vAlign w:val="bottom"/>
            <w:gridSpan w:val="2"/>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including</w:t>
            </w:r>
          </w:p>
        </w:tc>
        <w:tc>
          <w:tcPr>
            <w:tcW w:w="24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corporation.</w:t>
            </w: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without prejudice to the generality of</w:t>
            </w:r>
          </w:p>
        </w:tc>
        <w:tc>
          <w:tcPr>
            <w:tcW w:w="2440" w:type="dxa"/>
            <w:vAlign w:val="bottom"/>
          </w:tcPr>
          <w:p>
            <w:pPr>
              <w:spacing w:after="0"/>
              <w:rPr>
                <w:sz w:val="13"/>
                <w:szCs w:val="13"/>
                <w:color w:val="auto"/>
              </w:rPr>
            </w:pP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the  foregoing,  any  costs,  expenses,</w:t>
            </w:r>
          </w:p>
        </w:tc>
        <w:tc>
          <w:tcPr>
            <w:tcW w:w="2440" w:type="dxa"/>
            <w:vAlign w:val="bottom"/>
          </w:tcPr>
          <w:p>
            <w:pPr>
              <w:spacing w:after="0"/>
              <w:rPr>
                <w:sz w:val="13"/>
                <w:szCs w:val="13"/>
                <w:color w:val="auto"/>
              </w:rPr>
            </w:pP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losses  or  liabilities  incurred  by  such</w:t>
            </w:r>
          </w:p>
        </w:tc>
        <w:tc>
          <w:tcPr>
            <w:tcW w:w="2440" w:type="dxa"/>
            <w:vAlign w:val="bottom"/>
          </w:tcPr>
          <w:p>
            <w:pPr>
              <w:spacing w:after="0"/>
              <w:rPr>
                <w:sz w:val="13"/>
                <w:szCs w:val="13"/>
                <w:color w:val="auto"/>
              </w:rPr>
            </w:pP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director or officer in defending (whether</w:t>
            </w:r>
          </w:p>
        </w:tc>
        <w:tc>
          <w:tcPr>
            <w:tcW w:w="2440" w:type="dxa"/>
            <w:vAlign w:val="bottom"/>
          </w:tcPr>
          <w:p>
            <w:pPr>
              <w:spacing w:after="0"/>
              <w:rPr>
                <w:sz w:val="13"/>
                <w:szCs w:val="13"/>
                <w:color w:val="auto"/>
              </w:rPr>
            </w:pP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successfully  or  otherwise)  any  civil</w:t>
            </w:r>
          </w:p>
        </w:tc>
        <w:tc>
          <w:tcPr>
            <w:tcW w:w="2440" w:type="dxa"/>
            <w:vAlign w:val="bottom"/>
          </w:tcPr>
          <w:p>
            <w:pPr>
              <w:spacing w:after="0"/>
              <w:rPr>
                <w:sz w:val="13"/>
                <w:szCs w:val="13"/>
                <w:color w:val="auto"/>
              </w:rPr>
            </w:pP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proceedings concerning our company or</w:t>
            </w:r>
          </w:p>
        </w:tc>
        <w:tc>
          <w:tcPr>
            <w:tcW w:w="2440" w:type="dxa"/>
            <w:vAlign w:val="bottom"/>
          </w:tcPr>
          <w:p>
            <w:pPr>
              <w:spacing w:after="0"/>
              <w:rPr>
                <w:sz w:val="13"/>
                <w:szCs w:val="13"/>
                <w:color w:val="auto"/>
              </w:rPr>
            </w:pPr>
          </w:p>
        </w:tc>
      </w:tr>
      <w:tr>
        <w:trPr>
          <w:trHeight w:val="155"/>
        </w:trPr>
        <w:tc>
          <w:tcPr>
            <w:tcW w:w="244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auto"/>
              </w:rPr>
              <w:t>our affairs in any court whether in the</w:t>
            </w:r>
          </w:p>
        </w:tc>
        <w:tc>
          <w:tcPr>
            <w:tcW w:w="2440" w:type="dxa"/>
            <w:vAlign w:val="bottom"/>
          </w:tcPr>
          <w:p>
            <w:pPr>
              <w:spacing w:after="0"/>
              <w:rPr>
                <w:sz w:val="13"/>
                <w:szCs w:val="13"/>
                <w:color w:val="auto"/>
              </w:rPr>
            </w:pPr>
          </w:p>
        </w:tc>
      </w:tr>
      <w:tr>
        <w:trPr>
          <w:trHeight w:val="179"/>
        </w:trPr>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Cayman Islands or elsewhere.</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14"/>
        </w:trPr>
        <w:tc>
          <w:tcPr>
            <w:tcW w:w="2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  addition,  we  have  entered  into</w:t>
            </w:r>
          </w:p>
        </w:tc>
        <w:tc>
          <w:tcPr>
            <w:tcW w:w="2440" w:type="dxa"/>
            <w:vAlign w:val="bottom"/>
          </w:tcPr>
          <w:p>
            <w:pPr>
              <w:spacing w:after="0"/>
              <w:rPr>
                <w:sz w:val="18"/>
                <w:szCs w:val="18"/>
                <w:color w:val="auto"/>
              </w:rPr>
            </w:pPr>
          </w:p>
        </w:tc>
      </w:tr>
      <w:tr>
        <w:trPr>
          <w:trHeight w:val="169"/>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indemnification</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agreements</w:t>
            </w: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with</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our</w:t>
            </w:r>
          </w:p>
        </w:tc>
        <w:tc>
          <w:tcPr>
            <w:tcW w:w="2440" w:type="dxa"/>
            <w:vAlign w:val="bottom"/>
          </w:tcPr>
          <w:p>
            <w:pPr>
              <w:spacing w:after="0"/>
              <w:rPr>
                <w:sz w:val="14"/>
                <w:szCs w:val="14"/>
                <w:color w:val="auto"/>
              </w:rPr>
            </w:pPr>
          </w:p>
        </w:tc>
      </w:tr>
    </w:tbl>
    <w:p>
      <w:pPr>
        <w:ind w:left="160"/>
        <w:spacing w:after="0"/>
        <w:tabs>
          <w:tab w:leader="none" w:pos="760" w:val="left"/>
          <w:tab w:leader="none" w:pos="1060" w:val="left"/>
          <w:tab w:leader="none" w:pos="1720" w:val="left"/>
          <w:tab w:leader="none" w:pos="2280" w:val="left"/>
        </w:tabs>
        <w:rPr>
          <w:sz w:val="20"/>
          <w:szCs w:val="20"/>
          <w:color w:val="auto"/>
        </w:rPr>
      </w:pPr>
      <w:r>
        <w:rPr>
          <w:rFonts w:ascii="Times New Roman" w:cs="Times New Roman" w:eastAsia="Times New Roman" w:hAnsi="Times New Roman"/>
          <w:sz w:val="14"/>
          <w:szCs w:val="14"/>
          <w:color w:val="auto"/>
        </w:rPr>
        <w:t>directors</w:t>
        <w:tab/>
        <w:t>and</w:t>
        <w:tab/>
        <w:t>executive</w:t>
        <w:tab/>
        <w:t>officers</w:t>
      </w:r>
      <w:r>
        <w:rPr>
          <w:sz w:val="20"/>
          <w:szCs w:val="20"/>
          <w:color w:val="auto"/>
        </w:rPr>
        <w:tab/>
      </w:r>
      <w:r>
        <w:rPr>
          <w:rFonts w:ascii="Times New Roman" w:cs="Times New Roman" w:eastAsia="Times New Roman" w:hAnsi="Times New Roman"/>
          <w:sz w:val="13"/>
          <w:szCs w:val="13"/>
          <w:color w:val="auto"/>
        </w:rPr>
        <w:t>that</w:t>
      </w:r>
    </w:p>
    <w:p>
      <w:pPr>
        <w:ind w:left="160"/>
        <w:spacing w:after="0" w:line="231" w:lineRule="auto"/>
        <w:rPr>
          <w:sz w:val="20"/>
          <w:szCs w:val="20"/>
          <w:color w:val="auto"/>
        </w:rPr>
      </w:pPr>
      <w:r>
        <w:rPr>
          <w:rFonts w:ascii="Times New Roman" w:cs="Times New Roman" w:eastAsia="Times New Roman" w:hAnsi="Times New Roman"/>
          <w:sz w:val="14"/>
          <w:szCs w:val="14"/>
          <w:color w:val="auto"/>
        </w:rPr>
        <w:t>provide  such  persons  with  additional</w:t>
      </w:r>
    </w:p>
    <w:p>
      <w:pPr>
        <w:ind w:left="160"/>
        <w:spacing w:after="0" w:line="231" w:lineRule="auto"/>
        <w:rPr>
          <w:sz w:val="20"/>
          <w:szCs w:val="20"/>
          <w:color w:val="auto"/>
        </w:rPr>
      </w:pPr>
      <w:r>
        <w:rPr>
          <w:rFonts w:ascii="Times New Roman" w:cs="Times New Roman" w:eastAsia="Times New Roman" w:hAnsi="Times New Roman"/>
          <w:sz w:val="14"/>
          <w:szCs w:val="14"/>
          <w:color w:val="auto"/>
        </w:rPr>
        <w:t>indemnification beyond that provided in</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 Articles.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Insofar as indemnification for liabilities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arising under the Securities Act may be</w:t>
      </w:r>
    </w:p>
    <w:p>
      <w:pPr>
        <w:ind w:left="160"/>
        <w:spacing w:after="0" w:line="231" w:lineRule="auto"/>
        <w:rPr>
          <w:sz w:val="20"/>
          <w:szCs w:val="20"/>
          <w:color w:val="auto"/>
        </w:rPr>
      </w:pPr>
      <w:r>
        <w:rPr>
          <w:rFonts w:ascii="Times New Roman" w:cs="Times New Roman" w:eastAsia="Times New Roman" w:hAnsi="Times New Roman"/>
          <w:sz w:val="14"/>
          <w:szCs w:val="14"/>
          <w:color w:val="auto"/>
        </w:rPr>
        <w:t>permitted to our directors, officers or</w:t>
      </w:r>
    </w:p>
    <w:p>
      <w:pPr>
        <w:ind w:left="160"/>
        <w:spacing w:after="0"/>
        <w:tabs>
          <w:tab w:leader="none" w:pos="740" w:val="left"/>
          <w:tab w:leader="none" w:pos="1540" w:val="left"/>
          <w:tab w:leader="none" w:pos="1820" w:val="left"/>
          <w:tab w:leader="none" w:pos="2320" w:val="left"/>
        </w:tabs>
        <w:rPr>
          <w:sz w:val="20"/>
          <w:szCs w:val="20"/>
          <w:color w:val="auto"/>
        </w:rPr>
      </w:pPr>
      <w:r>
        <w:rPr>
          <w:rFonts w:ascii="Times New Roman" w:cs="Times New Roman" w:eastAsia="Times New Roman" w:hAnsi="Times New Roman"/>
          <w:sz w:val="14"/>
          <w:szCs w:val="14"/>
          <w:color w:val="auto"/>
        </w:rPr>
        <w:t>persons</w:t>
        <w:tab/>
        <w:t>controlling</w:t>
        <w:tab/>
        <w:t>us</w:t>
        <w:tab/>
        <w:t>under</w:t>
      </w:r>
      <w:r>
        <w:rPr>
          <w:sz w:val="20"/>
          <w:szCs w:val="20"/>
          <w:color w:val="auto"/>
        </w:rPr>
        <w:tab/>
      </w:r>
      <w:r>
        <w:rPr>
          <w:rFonts w:ascii="Times New Roman" w:cs="Times New Roman" w:eastAsia="Times New Roman" w:hAnsi="Times New Roman"/>
          <w:sz w:val="13"/>
          <w:szCs w:val="13"/>
          <w:color w:val="auto"/>
        </w:rPr>
        <w:t>the</w:t>
      </w:r>
    </w:p>
    <w:p>
      <w:pPr>
        <w:ind w:left="160"/>
        <w:spacing w:after="0" w:line="231" w:lineRule="auto"/>
        <w:tabs>
          <w:tab w:leader="none" w:pos="800" w:val="left"/>
          <w:tab w:leader="none" w:pos="1560" w:val="left"/>
          <w:tab w:leader="none" w:pos="1840" w:val="left"/>
          <w:tab w:leader="none" w:pos="2220" w:val="left"/>
        </w:tabs>
        <w:rPr>
          <w:sz w:val="20"/>
          <w:szCs w:val="20"/>
          <w:color w:val="auto"/>
        </w:rPr>
      </w:pPr>
      <w:r>
        <w:rPr>
          <w:rFonts w:ascii="Times New Roman" w:cs="Times New Roman" w:eastAsia="Times New Roman" w:hAnsi="Times New Roman"/>
          <w:sz w:val="14"/>
          <w:szCs w:val="14"/>
          <w:color w:val="auto"/>
        </w:rPr>
        <w:t>foregoing</w:t>
        <w:tab/>
        <w:t>provisions,</w:t>
        <w:tab/>
        <w:t>we</w:t>
        <w:tab/>
        <w:t>have</w:t>
        <w:tab/>
        <w:t>been</w:t>
      </w:r>
    </w:p>
    <w:p>
      <w:pPr>
        <w:ind w:left="160"/>
        <w:spacing w:after="0" w:line="232" w:lineRule="auto"/>
        <w:rPr>
          <w:sz w:val="20"/>
          <w:szCs w:val="20"/>
          <w:color w:val="auto"/>
        </w:rPr>
      </w:pPr>
      <w:r>
        <w:rPr>
          <w:rFonts w:ascii="Times New Roman" w:cs="Times New Roman" w:eastAsia="Times New Roman" w:hAnsi="Times New Roman"/>
          <w:sz w:val="14"/>
          <w:szCs w:val="14"/>
          <w:color w:val="auto"/>
        </w:rPr>
        <w:t>informed that in the opinion of the SEC,</w:t>
      </w:r>
    </w:p>
    <w:p>
      <w:pPr>
        <w:ind w:left="160"/>
        <w:spacing w:after="0" w:line="231" w:lineRule="auto"/>
        <w:rPr>
          <w:sz w:val="20"/>
          <w:szCs w:val="20"/>
          <w:color w:val="auto"/>
        </w:rPr>
      </w:pPr>
      <w:r>
        <w:rPr>
          <w:rFonts w:ascii="Times New Roman" w:cs="Times New Roman" w:eastAsia="Times New Roman" w:hAnsi="Times New Roman"/>
          <w:sz w:val="14"/>
          <w:szCs w:val="14"/>
          <w:color w:val="auto"/>
        </w:rPr>
        <w:t>such indemnification is against public</w:t>
      </w:r>
    </w:p>
    <w:p>
      <w:pPr>
        <w:ind w:left="160"/>
        <w:spacing w:after="0" w:line="231" w:lineRule="auto"/>
        <w:rPr>
          <w:sz w:val="20"/>
          <w:szCs w:val="20"/>
          <w:color w:val="auto"/>
        </w:rPr>
      </w:pPr>
      <w:r>
        <w:rPr>
          <w:rFonts w:ascii="Times New Roman" w:cs="Times New Roman" w:eastAsia="Times New Roman" w:hAnsi="Times New Roman"/>
          <w:sz w:val="14"/>
          <w:szCs w:val="14"/>
          <w:color w:val="auto"/>
        </w:rPr>
        <w:t>policy as expressed in the Securities Act</w:t>
      </w:r>
    </w:p>
    <w:p>
      <w:pPr>
        <w:ind w:left="160"/>
        <w:spacing w:after="0" w:line="231" w:lineRule="auto"/>
        <w:rPr>
          <w:sz w:val="20"/>
          <w:szCs w:val="20"/>
          <w:color w:val="auto"/>
        </w:rPr>
      </w:pPr>
      <w:r>
        <w:rPr>
          <w:rFonts w:ascii="Times New Roman" w:cs="Times New Roman" w:eastAsia="Times New Roman" w:hAnsi="Times New Roman"/>
          <w:sz w:val="14"/>
          <w:szCs w:val="14"/>
          <w:color w:val="auto"/>
        </w:rPr>
        <w:t>and is therefore unenforceable.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9"/>
          </w:tcPr>
          <w:p>
            <w:pPr>
              <w:jc w:val="center"/>
              <w:spacing w:after="0"/>
              <w:rPr>
                <w:sz w:val="20"/>
                <w:szCs w:val="20"/>
                <w:color w:val="auto"/>
              </w:rPr>
            </w:pPr>
            <w:r>
              <w:rPr>
                <w:rFonts w:ascii="Times New Roman" w:cs="Times New Roman" w:eastAsia="Times New Roman" w:hAnsi="Times New Roman"/>
                <w:sz w:val="14"/>
                <w:szCs w:val="14"/>
                <w:color w:val="auto"/>
              </w:rPr>
              <w:t>​ ​ As a matter of Cayman Islands law, a​ ​ Under</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law,</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director of a Cayman Islands company</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director of a Delaware corporation has a</w:t>
            </w:r>
          </w:p>
        </w:tc>
        <w:tc>
          <w:tcPr>
            <w:tcW w:w="0" w:type="dxa"/>
            <w:vAlign w:val="bottom"/>
          </w:tcPr>
          <w:p>
            <w:pPr>
              <w:spacing w:after="0"/>
              <w:rPr>
                <w:sz w:val="1"/>
                <w:szCs w:val="1"/>
                <w:color w:val="auto"/>
              </w:rPr>
            </w:pPr>
          </w:p>
        </w:tc>
      </w:tr>
      <w:tr>
        <w:trPr>
          <w:trHeight w:val="165"/>
        </w:trPr>
        <w:tc>
          <w:tcPr>
            <w:tcW w:w="260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is in the position of a fiduciary with</w:t>
            </w:r>
          </w:p>
        </w:tc>
        <w:tc>
          <w:tcPr>
            <w:tcW w:w="248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fiduciary duty to the corporation and its</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respect to the company and therefore it</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shareholders.   This   duty   has   two</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is considered that he owes the following</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components: the duty of care and the</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duties to the company — a duty to act in</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duty  of  loyalty.  The  duty  of  care</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good faith in the best interests of the</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requires that a director act in good faith,</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company, a duty not to make a personal</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with the care that an ordinarily prudent</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profit based on his position as director</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person  would  exercise  under  similar</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(unless the company permits him to do</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circumstances.  Under  this  duty,  a</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so),  a  duty  not  to  put  himself  in  a</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director must inform himself of, and</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position  where  the  interests  of  the</w:t>
            </w:r>
          </w:p>
        </w:tc>
        <w:tc>
          <w:tcPr>
            <w:tcW w:w="2480" w:type="dxa"/>
            <w:vAlign w:val="bottom"/>
            <w:gridSpan w:val="10"/>
          </w:tcPr>
          <w:p>
            <w:pPr>
              <w:ind w:left="80"/>
              <w:spacing w:after="0" w:line="155" w:lineRule="exact"/>
              <w:rPr>
                <w:sz w:val="20"/>
                <w:szCs w:val="20"/>
                <w:color w:val="auto"/>
              </w:rPr>
            </w:pPr>
            <w:r>
              <w:rPr>
                <w:rFonts w:ascii="Times New Roman" w:cs="Times New Roman" w:eastAsia="Times New Roman" w:hAnsi="Times New Roman"/>
                <w:sz w:val="14"/>
                <w:szCs w:val="14"/>
                <w:color w:val="auto"/>
              </w:rPr>
              <w:t>disclose  to  shareholders,  all  material</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company  conflict  with  his  personal</w:t>
            </w:r>
          </w:p>
        </w:tc>
        <w:tc>
          <w:tcPr>
            <w:tcW w:w="88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color w:val="auto"/>
              </w:rPr>
              <w:t>information</w:t>
            </w:r>
          </w:p>
        </w:tc>
        <w:tc>
          <w:tcPr>
            <w:tcW w:w="100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color w:val="auto"/>
              </w:rPr>
              <w:t>reasonably</w:t>
            </w:r>
          </w:p>
        </w:tc>
        <w:tc>
          <w:tcPr>
            <w:tcW w:w="6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available</w:t>
            </w: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interest or his duty to a third party and a</w:t>
            </w:r>
          </w:p>
        </w:tc>
        <w:tc>
          <w:tcPr>
            <w:tcW w:w="2160" w:type="dxa"/>
            <w:vAlign w:val="bottom"/>
            <w:gridSpan w:val="8"/>
          </w:tcPr>
          <w:p>
            <w:pPr>
              <w:ind w:left="80"/>
              <w:spacing w:after="0" w:line="155" w:lineRule="exact"/>
              <w:rPr>
                <w:sz w:val="20"/>
                <w:szCs w:val="20"/>
                <w:color w:val="auto"/>
              </w:rPr>
            </w:pPr>
            <w:r>
              <w:rPr>
                <w:rFonts w:ascii="Times New Roman" w:cs="Times New Roman" w:eastAsia="Times New Roman" w:hAnsi="Times New Roman"/>
                <w:sz w:val="14"/>
                <w:szCs w:val="14"/>
                <w:color w:val="auto"/>
              </w:rPr>
              <w:t>regarding a significant transaction.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duty to exercise powers for the purpose</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91"/>
              </w:rPr>
              <w:t>The</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duty</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of</w:t>
            </w:r>
          </w:p>
        </w:tc>
        <w:tc>
          <w:tcPr>
            <w:tcW w:w="13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color w:val="auto"/>
              </w:rPr>
              <w:t>loyalty  requires  that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83"/>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for which such powers were intended. A</w:t>
            </w:r>
          </w:p>
        </w:tc>
        <w:tc>
          <w:tcPr>
            <w:tcW w:w="30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gridSpan w:val="7"/>
            <w:vMerge w:val="continue"/>
          </w:tcPr>
          <w:p>
            <w:pPr>
              <w:spacing w:after="0"/>
              <w:rPr>
                <w:sz w:val="6"/>
                <w:szCs w:val="6"/>
                <w:color w:val="auto"/>
              </w:rPr>
            </w:pPr>
          </w:p>
        </w:tc>
        <w:tc>
          <w:tcPr>
            <w:tcW w:w="2480" w:type="dxa"/>
            <w:vAlign w:val="bottom"/>
            <w:gridSpan w:val="10"/>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director acts in a manner he reasonably</w:t>
            </w:r>
          </w:p>
        </w:tc>
        <w:tc>
          <w:tcPr>
            <w:tcW w:w="0" w:type="dxa"/>
            <w:vAlign w:val="bottom"/>
          </w:tcPr>
          <w:p>
            <w:pPr>
              <w:spacing w:after="0"/>
              <w:rPr>
                <w:sz w:val="1"/>
                <w:szCs w:val="1"/>
                <w:color w:val="auto"/>
              </w:rPr>
            </w:pPr>
          </w:p>
        </w:tc>
      </w:tr>
      <w:tr>
        <w:trPr>
          <w:trHeight w:val="83"/>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director of a Cayman Islands company</w:t>
            </w:r>
          </w:p>
        </w:tc>
        <w:tc>
          <w:tcPr>
            <w:tcW w:w="24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gridSpan w:val="7"/>
            <w:vMerge w:val="continue"/>
          </w:tcPr>
          <w:p>
            <w:pPr>
              <w:spacing w:after="0"/>
              <w:rPr>
                <w:sz w:val="6"/>
                <w:szCs w:val="6"/>
                <w:color w:val="auto"/>
              </w:rPr>
            </w:pPr>
          </w:p>
        </w:tc>
        <w:tc>
          <w:tcPr>
            <w:tcW w:w="2480" w:type="dxa"/>
            <w:vAlign w:val="bottom"/>
            <w:gridSpan w:val="10"/>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believes to be in the best interests of the</w:t>
            </w:r>
          </w:p>
        </w:tc>
        <w:tc>
          <w:tcPr>
            <w:tcW w:w="0" w:type="dxa"/>
            <w:vAlign w:val="bottom"/>
          </w:tcPr>
          <w:p>
            <w:pPr>
              <w:spacing w:after="0"/>
              <w:rPr>
                <w:sz w:val="1"/>
                <w:szCs w:val="1"/>
                <w:color w:val="auto"/>
              </w:rPr>
            </w:pPr>
          </w:p>
        </w:tc>
      </w:tr>
      <w:tr>
        <w:trPr>
          <w:trHeight w:val="83"/>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owes to the company a duty to act with</w:t>
            </w:r>
          </w:p>
        </w:tc>
        <w:tc>
          <w:tcPr>
            <w:tcW w:w="24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gridSpan w:val="7"/>
            <w:vMerge w:val="continue"/>
          </w:tcPr>
          <w:p>
            <w:pPr>
              <w:spacing w:after="0"/>
              <w:rPr>
                <w:sz w:val="6"/>
                <w:szCs w:val="6"/>
                <w:color w:val="auto"/>
              </w:rPr>
            </w:pPr>
          </w:p>
        </w:tc>
        <w:tc>
          <w:tcPr>
            <w:tcW w:w="880" w:type="dxa"/>
            <w:vAlign w:val="bottom"/>
            <w:gridSpan w:val="4"/>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corporation.</w:t>
            </w:r>
          </w:p>
        </w:tc>
        <w:tc>
          <w:tcPr>
            <w:tcW w:w="280" w:type="dxa"/>
            <w:vAlign w:val="bottom"/>
            <w:vMerge w:val="restart"/>
          </w:tcPr>
          <w:p>
            <w:pPr>
              <w:ind w:left="40"/>
              <w:spacing w:after="0" w:line="155" w:lineRule="exact"/>
              <w:rPr>
                <w:sz w:val="20"/>
                <w:szCs w:val="20"/>
                <w:color w:val="auto"/>
              </w:rPr>
            </w:pPr>
            <w:r>
              <w:rPr>
                <w:rFonts w:ascii="Times New Roman" w:cs="Times New Roman" w:eastAsia="Times New Roman" w:hAnsi="Times New Roman"/>
                <w:sz w:val="14"/>
                <w:szCs w:val="14"/>
                <w:color w:val="auto"/>
              </w:rPr>
              <w:t>He</w:t>
            </w:r>
          </w:p>
        </w:tc>
        <w:tc>
          <w:tcPr>
            <w:tcW w:w="3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4"/>
                <w:szCs w:val="14"/>
                <w:color w:val="auto"/>
              </w:rPr>
              <w:t>must</w:t>
            </w:r>
          </w:p>
        </w:tc>
        <w:tc>
          <w:tcPr>
            <w:tcW w:w="3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not</w:t>
            </w:r>
          </w:p>
        </w:tc>
        <w:tc>
          <w:tcPr>
            <w:tcW w:w="2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4"/>
                <w:szCs w:val="14"/>
                <w:color w:val="auto"/>
              </w:rPr>
              <w:t>use</w:t>
            </w:r>
          </w:p>
        </w:tc>
        <w:tc>
          <w:tcPr>
            <w:tcW w:w="100" w:type="dxa"/>
            <w:vAlign w:val="bottom"/>
          </w:tcPr>
          <w:p>
            <w:pPr>
              <w:spacing w:after="0"/>
              <w:rPr>
                <w:sz w:val="6"/>
                <w:szCs w:val="6"/>
                <w:color w:val="auto"/>
              </w:rPr>
            </w:pPr>
          </w:p>
        </w:tc>
        <w:tc>
          <w:tcPr>
            <w:tcW w:w="220" w:type="dxa"/>
            <w:vAlign w:val="bottom"/>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his</w:t>
            </w:r>
          </w:p>
        </w:tc>
        <w:tc>
          <w:tcPr>
            <w:tcW w:w="0" w:type="dxa"/>
            <w:vAlign w:val="bottom"/>
          </w:tcPr>
          <w:p>
            <w:pPr>
              <w:spacing w:after="0"/>
              <w:rPr>
                <w:sz w:val="1"/>
                <w:szCs w:val="1"/>
                <w:color w:val="auto"/>
              </w:rPr>
            </w:pPr>
          </w:p>
        </w:tc>
      </w:tr>
      <w:tr>
        <w:trPr>
          <w:trHeight w:val="83"/>
        </w:trPr>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skill</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and</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care.</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It</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was</w:t>
            </w:r>
          </w:p>
        </w:tc>
        <w:tc>
          <w:tcPr>
            <w:tcW w:w="76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previously</w:t>
            </w:r>
          </w:p>
        </w:tc>
        <w:tc>
          <w:tcPr>
            <w:tcW w:w="880" w:type="dxa"/>
            <w:vAlign w:val="bottom"/>
            <w:gridSpan w:val="4"/>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480" w:type="dxa"/>
            <w:vAlign w:val="bottom"/>
            <w:gridSpan w:val="10"/>
            <w:vMerge w:val="restart"/>
          </w:tcPr>
          <w:p>
            <w:pPr>
              <w:ind w:left="80"/>
              <w:spacing w:after="0"/>
              <w:rPr>
                <w:sz w:val="20"/>
                <w:szCs w:val="20"/>
                <w:color w:val="auto"/>
              </w:rPr>
            </w:pPr>
            <w:r>
              <w:rPr>
                <w:rFonts w:ascii="Times New Roman" w:cs="Times New Roman" w:eastAsia="Times New Roman" w:hAnsi="Times New Roman"/>
                <w:sz w:val="14"/>
                <w:szCs w:val="14"/>
                <w:color w:val="auto"/>
              </w:rPr>
              <w:t>corporate position for personal gain or</w:t>
            </w:r>
          </w:p>
        </w:tc>
        <w:tc>
          <w:tcPr>
            <w:tcW w:w="0" w:type="dxa"/>
            <w:vAlign w:val="bottom"/>
          </w:tcPr>
          <w:p>
            <w:pPr>
              <w:spacing w:after="0"/>
              <w:rPr>
                <w:sz w:val="1"/>
                <w:szCs w:val="1"/>
                <w:color w:val="auto"/>
              </w:rPr>
            </w:pPr>
          </w:p>
        </w:tc>
      </w:tr>
      <w:tr>
        <w:trPr>
          <w:trHeight w:val="83"/>
        </w:trPr>
        <w:tc>
          <w:tcPr>
            <w:tcW w:w="780" w:type="dxa"/>
            <w:vAlign w:val="bottom"/>
            <w:gridSpan w:val="2"/>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w w:val="98"/>
              </w:rPr>
              <w:t>considered</w:t>
            </w:r>
          </w:p>
        </w:tc>
        <w:tc>
          <w:tcPr>
            <w:tcW w:w="520" w:type="dxa"/>
            <w:vAlign w:val="bottom"/>
            <w:vMerge w:val="restart"/>
          </w:tcPr>
          <w:p>
            <w:pPr>
              <w:ind w:left="100"/>
              <w:spacing w:after="0" w:line="155" w:lineRule="exact"/>
              <w:rPr>
                <w:sz w:val="20"/>
                <w:szCs w:val="20"/>
                <w:color w:val="auto"/>
              </w:rPr>
            </w:pPr>
            <w:r>
              <w:rPr>
                <w:rFonts w:ascii="Times New Roman" w:cs="Times New Roman" w:eastAsia="Times New Roman" w:hAnsi="Times New Roman"/>
                <w:sz w:val="14"/>
                <w:szCs w:val="14"/>
                <w:color w:val="auto"/>
              </w:rPr>
              <w:t>that  a</w:t>
            </w:r>
          </w:p>
        </w:tc>
        <w:tc>
          <w:tcPr>
            <w:tcW w:w="540" w:type="dxa"/>
            <w:vAlign w:val="bottom"/>
            <w:gridSpan w:val="2"/>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director</w:t>
            </w:r>
          </w:p>
        </w:tc>
        <w:tc>
          <w:tcPr>
            <w:tcW w:w="400" w:type="dxa"/>
            <w:vAlign w:val="bottom"/>
            <w:vMerge w:val="restart"/>
          </w:tcPr>
          <w:p>
            <w:pPr>
              <w:ind w:left="100"/>
              <w:spacing w:after="0" w:line="155" w:lineRule="exact"/>
              <w:rPr>
                <w:sz w:val="20"/>
                <w:szCs w:val="20"/>
                <w:color w:val="auto"/>
              </w:rPr>
            </w:pPr>
            <w:r>
              <w:rPr>
                <w:rFonts w:ascii="Times New Roman" w:cs="Times New Roman" w:eastAsia="Times New Roman" w:hAnsi="Times New Roman"/>
                <w:sz w:val="14"/>
                <w:szCs w:val="14"/>
                <w:color w:val="auto"/>
              </w:rPr>
              <w:t>need</w:t>
            </w:r>
          </w:p>
        </w:tc>
        <w:tc>
          <w:tcPr>
            <w:tcW w:w="360" w:type="dxa"/>
            <w:vAlign w:val="bottom"/>
            <w:vMerge w:val="restart"/>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not</w:t>
            </w:r>
          </w:p>
        </w:tc>
        <w:tc>
          <w:tcPr>
            <w:tcW w:w="24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20" w:type="dxa"/>
            <w:vAlign w:val="bottom"/>
            <w:gridSpan w:val="3"/>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advantage.</w:t>
            </w:r>
          </w:p>
        </w:tc>
        <w:tc>
          <w:tcPr>
            <w:tcW w:w="44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color w:val="auto"/>
              </w:rPr>
              <w:t>This</w:t>
            </w:r>
          </w:p>
        </w:tc>
        <w:tc>
          <w:tcPr>
            <w:tcW w:w="38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duty</w:t>
            </w:r>
          </w:p>
        </w:tc>
        <w:tc>
          <w:tcPr>
            <w:tcW w:w="62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prohibits</w:t>
            </w:r>
          </w:p>
        </w:tc>
        <w:tc>
          <w:tcPr>
            <w:tcW w:w="32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self-</w:t>
            </w:r>
          </w:p>
        </w:tc>
        <w:tc>
          <w:tcPr>
            <w:tcW w:w="0" w:type="dxa"/>
            <w:vAlign w:val="bottom"/>
          </w:tcPr>
          <w:p>
            <w:pPr>
              <w:spacing w:after="0"/>
              <w:rPr>
                <w:sz w:val="1"/>
                <w:szCs w:val="1"/>
                <w:color w:val="auto"/>
              </w:rPr>
            </w:pPr>
          </w:p>
        </w:tc>
      </w:tr>
      <w:tr>
        <w:trPr>
          <w:trHeight w:val="83"/>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exhibit in the performance of his duties</w:t>
            </w:r>
          </w:p>
        </w:tc>
        <w:tc>
          <w:tcPr>
            <w:tcW w:w="72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gridSpan w:val="7"/>
            <w:vMerge w:val="continue"/>
          </w:tcPr>
          <w:p>
            <w:pPr>
              <w:spacing w:after="0"/>
              <w:rPr>
                <w:sz w:val="6"/>
                <w:szCs w:val="6"/>
                <w:color w:val="auto"/>
              </w:rPr>
            </w:pPr>
          </w:p>
        </w:tc>
        <w:tc>
          <w:tcPr>
            <w:tcW w:w="2480" w:type="dxa"/>
            <w:vAlign w:val="bottom"/>
            <w:gridSpan w:val="10"/>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dealing by a director and mandates that</w:t>
            </w:r>
          </w:p>
        </w:tc>
        <w:tc>
          <w:tcPr>
            <w:tcW w:w="0" w:type="dxa"/>
            <w:vAlign w:val="bottom"/>
          </w:tcPr>
          <w:p>
            <w:pPr>
              <w:spacing w:after="0"/>
              <w:rPr>
                <w:sz w:val="1"/>
                <w:szCs w:val="1"/>
                <w:color w:val="auto"/>
              </w:rPr>
            </w:pPr>
          </w:p>
        </w:tc>
      </w:tr>
      <w:tr>
        <w:trPr>
          <w:trHeight w:val="83"/>
        </w:trPr>
        <w:tc>
          <w:tcPr>
            <w:tcW w:w="780" w:type="dxa"/>
            <w:vAlign w:val="bottom"/>
            <w:gridSpan w:val="2"/>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a  greater</w:t>
            </w:r>
          </w:p>
        </w:tc>
        <w:tc>
          <w:tcPr>
            <w:tcW w:w="5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degree</w:t>
            </w:r>
          </w:p>
        </w:tc>
        <w:tc>
          <w:tcPr>
            <w:tcW w:w="22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320" w:type="dxa"/>
            <w:vAlign w:val="bottom"/>
            <w:vMerge w:val="restart"/>
          </w:tcPr>
          <w:p>
            <w:pPr>
              <w:ind w:left="40"/>
              <w:spacing w:after="0" w:line="155" w:lineRule="exact"/>
              <w:rPr>
                <w:sz w:val="20"/>
                <w:szCs w:val="20"/>
                <w:color w:val="auto"/>
              </w:rPr>
            </w:pPr>
            <w:r>
              <w:rPr>
                <w:rFonts w:ascii="Times New Roman" w:cs="Times New Roman" w:eastAsia="Times New Roman" w:hAnsi="Times New Roman"/>
                <w:sz w:val="14"/>
                <w:szCs w:val="14"/>
                <w:color w:val="auto"/>
              </w:rPr>
              <w:t>skill</w:t>
            </w:r>
          </w:p>
        </w:tc>
        <w:tc>
          <w:tcPr>
            <w:tcW w:w="40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4"/>
                <w:szCs w:val="14"/>
                <w:color w:val="auto"/>
              </w:rPr>
              <w:t>than</w:t>
            </w:r>
          </w:p>
        </w:tc>
        <w:tc>
          <w:tcPr>
            <w:tcW w:w="360" w:type="dxa"/>
            <w:vAlign w:val="bottom"/>
            <w:vMerge w:val="restart"/>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w w:val="99"/>
              </w:rPr>
              <w:t>may</w:t>
            </w:r>
          </w:p>
        </w:tc>
        <w:tc>
          <w:tcPr>
            <w:tcW w:w="24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480" w:type="dxa"/>
            <w:vAlign w:val="bottom"/>
            <w:gridSpan w:val="10"/>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the best interest of the corporation and</w:t>
            </w:r>
          </w:p>
        </w:tc>
        <w:tc>
          <w:tcPr>
            <w:tcW w:w="0" w:type="dxa"/>
            <w:vAlign w:val="bottom"/>
          </w:tcPr>
          <w:p>
            <w:pPr>
              <w:spacing w:after="0"/>
              <w:rPr>
                <w:sz w:val="1"/>
                <w:szCs w:val="1"/>
                <w:color w:val="auto"/>
              </w:rPr>
            </w:pPr>
          </w:p>
        </w:tc>
      </w:tr>
      <w:tr>
        <w:trPr>
          <w:trHeight w:val="83"/>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reasonably be expected from a person of</w:t>
            </w:r>
          </w:p>
        </w:tc>
        <w:tc>
          <w:tcPr>
            <w:tcW w:w="24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gridSpan w:val="7"/>
            <w:vMerge w:val="continue"/>
          </w:tcPr>
          <w:p>
            <w:pPr>
              <w:spacing w:after="0"/>
              <w:rPr>
                <w:sz w:val="6"/>
                <w:szCs w:val="6"/>
                <w:color w:val="auto"/>
              </w:rPr>
            </w:pPr>
          </w:p>
        </w:tc>
        <w:tc>
          <w:tcPr>
            <w:tcW w:w="30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its</w:t>
            </w:r>
          </w:p>
        </w:tc>
        <w:tc>
          <w:tcPr>
            <w:tcW w:w="1860" w:type="dxa"/>
            <w:vAlign w:val="bottom"/>
            <w:gridSpan w:val="7"/>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shareholders take precedence</w:t>
            </w:r>
          </w:p>
        </w:tc>
        <w:tc>
          <w:tcPr>
            <w:tcW w:w="32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over</w:t>
            </w:r>
          </w:p>
        </w:tc>
        <w:tc>
          <w:tcPr>
            <w:tcW w:w="0" w:type="dxa"/>
            <w:vAlign w:val="bottom"/>
          </w:tcPr>
          <w:p>
            <w:pPr>
              <w:spacing w:after="0"/>
              <w:rPr>
                <w:sz w:val="1"/>
                <w:szCs w:val="1"/>
                <w:color w:val="auto"/>
              </w:rPr>
            </w:pPr>
          </w:p>
        </w:tc>
      </w:tr>
      <w:tr>
        <w:trPr>
          <w:trHeight w:val="83"/>
        </w:trPr>
        <w:tc>
          <w:tcPr>
            <w:tcW w:w="480" w:type="dxa"/>
            <w:vAlign w:val="bottom"/>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his</w:t>
            </w:r>
          </w:p>
        </w:tc>
        <w:tc>
          <w:tcPr>
            <w:tcW w:w="820" w:type="dxa"/>
            <w:vAlign w:val="bottom"/>
            <w:gridSpan w:val="2"/>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knowledge</w:t>
            </w:r>
          </w:p>
        </w:tc>
        <w:tc>
          <w:tcPr>
            <w:tcW w:w="540" w:type="dxa"/>
            <w:vAlign w:val="bottom"/>
            <w:gridSpan w:val="2"/>
            <w:vMerge w:val="restart"/>
          </w:tcPr>
          <w:p>
            <w:pPr>
              <w:jc w:val="center"/>
              <w:ind w:right="51"/>
              <w:spacing w:after="0" w:line="155" w:lineRule="exact"/>
              <w:rPr>
                <w:sz w:val="20"/>
                <w:szCs w:val="20"/>
                <w:color w:val="auto"/>
              </w:rPr>
            </w:pPr>
            <w:r>
              <w:rPr>
                <w:rFonts w:ascii="Times New Roman" w:cs="Times New Roman" w:eastAsia="Times New Roman" w:hAnsi="Times New Roman"/>
                <w:sz w:val="14"/>
                <w:szCs w:val="14"/>
                <w:color w:val="auto"/>
              </w:rPr>
              <w:t>and</w:t>
            </w:r>
          </w:p>
        </w:tc>
        <w:tc>
          <w:tcPr>
            <w:tcW w:w="760" w:type="dxa"/>
            <w:vAlign w:val="bottom"/>
            <w:gridSpan w:val="2"/>
            <w:vMerge w:val="restart"/>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w w:val="99"/>
              </w:rPr>
              <w:t>experience.</w:t>
            </w:r>
          </w:p>
        </w:tc>
        <w:tc>
          <w:tcPr>
            <w:tcW w:w="300" w:type="dxa"/>
            <w:vAlign w:val="bottom"/>
            <w:vMerge w:val="continue"/>
          </w:tcPr>
          <w:p>
            <w:pPr>
              <w:spacing w:after="0"/>
              <w:rPr>
                <w:sz w:val="7"/>
                <w:szCs w:val="7"/>
                <w:color w:val="auto"/>
              </w:rPr>
            </w:pPr>
          </w:p>
        </w:tc>
        <w:tc>
          <w:tcPr>
            <w:tcW w:w="1860" w:type="dxa"/>
            <w:vAlign w:val="bottom"/>
            <w:gridSpan w:val="7"/>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0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w w:val="98"/>
              </w:rPr>
              <w:t>any</w:t>
            </w:r>
          </w:p>
        </w:tc>
        <w:tc>
          <w:tcPr>
            <w:tcW w:w="580" w:type="dxa"/>
            <w:vAlign w:val="bottom"/>
            <w:gridSpan w:val="3"/>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66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possessed</w:t>
            </w:r>
          </w:p>
        </w:tc>
        <w:tc>
          <w:tcPr>
            <w:tcW w:w="34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rPr>
              <w:t>by  a</w:t>
            </w:r>
          </w:p>
        </w:tc>
        <w:tc>
          <w:tcPr>
            <w:tcW w:w="600" w:type="dxa"/>
            <w:vAlign w:val="bottom"/>
            <w:gridSpan w:val="3"/>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83"/>
        </w:trPr>
        <w:tc>
          <w:tcPr>
            <w:tcW w:w="780" w:type="dxa"/>
            <w:vAlign w:val="bottom"/>
            <w:gridSpan w:val="2"/>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However,</w:t>
            </w:r>
          </w:p>
        </w:tc>
        <w:tc>
          <w:tcPr>
            <w:tcW w:w="5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English</w:t>
            </w:r>
          </w:p>
        </w:tc>
        <w:tc>
          <w:tcPr>
            <w:tcW w:w="22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4"/>
                <w:szCs w:val="14"/>
                <w:color w:val="auto"/>
                <w:w w:val="88"/>
              </w:rPr>
              <w:t>and</w:t>
            </w:r>
          </w:p>
        </w:tc>
        <w:tc>
          <w:tcPr>
            <w:tcW w:w="1080" w:type="dxa"/>
            <w:vAlign w:val="bottom"/>
            <w:gridSpan w:val="3"/>
            <w:vMerge w:val="restart"/>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Commonwealth</w:t>
            </w:r>
          </w:p>
        </w:tc>
        <w:tc>
          <w:tcPr>
            <w:tcW w:w="30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500" w:type="dxa"/>
            <w:vAlign w:val="bottom"/>
            <w:gridSpan w:val="2"/>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officer</w:t>
            </w:r>
          </w:p>
        </w:tc>
        <w:tc>
          <w:tcPr>
            <w:tcW w:w="2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or</w:t>
            </w:r>
          </w:p>
        </w:tc>
        <w:tc>
          <w:tcPr>
            <w:tcW w:w="1440" w:type="dxa"/>
            <w:vAlign w:val="bottom"/>
            <w:gridSpan w:val="5"/>
            <w:vMerge w:val="restart"/>
          </w:tcPr>
          <w:p>
            <w:pPr>
              <w:ind w:left="40"/>
              <w:spacing w:after="0" w:line="155" w:lineRule="exact"/>
              <w:rPr>
                <w:sz w:val="20"/>
                <w:szCs w:val="20"/>
                <w:color w:val="auto"/>
              </w:rPr>
            </w:pPr>
            <w:r>
              <w:rPr>
                <w:rFonts w:ascii="Times New Roman" w:cs="Times New Roman" w:eastAsia="Times New Roman" w:hAnsi="Times New Roman"/>
                <w:sz w:val="14"/>
                <w:szCs w:val="14"/>
                <w:color w:val="auto"/>
              </w:rPr>
              <w:t>controlling shareholder</w:t>
            </w:r>
          </w:p>
        </w:tc>
        <w:tc>
          <w:tcPr>
            <w:tcW w:w="32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and</w:t>
            </w:r>
          </w:p>
        </w:tc>
        <w:tc>
          <w:tcPr>
            <w:tcW w:w="0" w:type="dxa"/>
            <w:vAlign w:val="bottom"/>
          </w:tcPr>
          <w:p>
            <w:pPr>
              <w:spacing w:after="0"/>
              <w:rPr>
                <w:sz w:val="1"/>
                <w:szCs w:val="1"/>
                <w:color w:val="auto"/>
              </w:rPr>
            </w:pPr>
          </w:p>
        </w:tc>
      </w:tr>
      <w:tr>
        <w:trPr>
          <w:trHeight w:val="83"/>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courts have moved toward an objective</w:t>
            </w:r>
          </w:p>
        </w:tc>
        <w:tc>
          <w:tcPr>
            <w:tcW w:w="50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gridSpan w:val="7"/>
            <w:vMerge w:val="continue"/>
          </w:tcPr>
          <w:p>
            <w:pPr>
              <w:spacing w:after="0"/>
              <w:rPr>
                <w:sz w:val="6"/>
                <w:szCs w:val="6"/>
                <w:color w:val="auto"/>
              </w:rPr>
            </w:pPr>
          </w:p>
        </w:tc>
        <w:tc>
          <w:tcPr>
            <w:tcW w:w="30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4"/>
                <w:szCs w:val="14"/>
                <w:color w:val="auto"/>
              </w:rPr>
              <w:t>not</w:t>
            </w:r>
          </w:p>
        </w:tc>
        <w:tc>
          <w:tcPr>
            <w:tcW w:w="580" w:type="dxa"/>
            <w:vAlign w:val="bottom"/>
            <w:gridSpan w:val="3"/>
            <w:vMerge w:val="restart"/>
          </w:tcPr>
          <w:p>
            <w:pPr>
              <w:ind w:left="140"/>
              <w:spacing w:after="0" w:line="155" w:lineRule="exact"/>
              <w:rPr>
                <w:sz w:val="20"/>
                <w:szCs w:val="20"/>
                <w:color w:val="auto"/>
              </w:rPr>
            </w:pPr>
            <w:r>
              <w:rPr>
                <w:rFonts w:ascii="Times New Roman" w:cs="Times New Roman" w:eastAsia="Times New Roman" w:hAnsi="Times New Roman"/>
                <w:sz w:val="14"/>
                <w:szCs w:val="14"/>
                <w:color w:val="auto"/>
              </w:rPr>
              <w:t>shared</w:t>
            </w:r>
          </w:p>
        </w:tc>
        <w:tc>
          <w:tcPr>
            <w:tcW w:w="280" w:type="dxa"/>
            <w:vAlign w:val="bottom"/>
            <w:vMerge w:val="restart"/>
          </w:tcPr>
          <w:p>
            <w:pPr>
              <w:ind w:left="120"/>
              <w:spacing w:after="0" w:line="155" w:lineRule="exact"/>
              <w:rPr>
                <w:sz w:val="20"/>
                <w:szCs w:val="20"/>
                <w:color w:val="auto"/>
              </w:rPr>
            </w:pPr>
            <w:r>
              <w:rPr>
                <w:rFonts w:ascii="Times New Roman" w:cs="Times New Roman" w:eastAsia="Times New Roman" w:hAnsi="Times New Roman"/>
                <w:sz w:val="14"/>
                <w:szCs w:val="14"/>
                <w:color w:val="auto"/>
                <w:w w:val="99"/>
              </w:rPr>
              <w:t>by</w:t>
            </w:r>
          </w:p>
        </w:tc>
        <w:tc>
          <w:tcPr>
            <w:tcW w:w="380" w:type="dxa"/>
            <w:vAlign w:val="bottom"/>
            <w:vMerge w:val="restart"/>
          </w:tcPr>
          <w:p>
            <w:pPr>
              <w:ind w:left="180"/>
              <w:spacing w:after="0" w:line="155" w:lineRule="exact"/>
              <w:rPr>
                <w:sz w:val="20"/>
                <w:szCs w:val="20"/>
                <w:color w:val="auto"/>
              </w:rPr>
            </w:pPr>
            <w:r>
              <w:rPr>
                <w:rFonts w:ascii="Times New Roman" w:cs="Times New Roman" w:eastAsia="Times New Roman" w:hAnsi="Times New Roman"/>
                <w:sz w:val="14"/>
                <w:szCs w:val="14"/>
                <w:color w:val="auto"/>
              </w:rPr>
              <w:t>the</w:t>
            </w:r>
          </w:p>
        </w:tc>
        <w:tc>
          <w:tcPr>
            <w:tcW w:w="940" w:type="dxa"/>
            <w:vAlign w:val="bottom"/>
            <w:gridSpan w:val="4"/>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83"/>
        </w:trPr>
        <w:tc>
          <w:tcPr>
            <w:tcW w:w="1520" w:type="dxa"/>
            <w:vAlign w:val="bottom"/>
            <w:gridSpan w:val="4"/>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standard  with  regard</w:t>
            </w:r>
          </w:p>
        </w:tc>
        <w:tc>
          <w:tcPr>
            <w:tcW w:w="1080" w:type="dxa"/>
            <w:vAlign w:val="bottom"/>
            <w:gridSpan w:val="3"/>
            <w:vMerge w:val="restart"/>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to  the  required</w:t>
            </w:r>
          </w:p>
        </w:tc>
        <w:tc>
          <w:tcPr>
            <w:tcW w:w="30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20" w:type="dxa"/>
            <w:vAlign w:val="bottom"/>
            <w:gridSpan w:val="4"/>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generally.</w:t>
            </w: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600" w:type="dxa"/>
            <w:vAlign w:val="bottom"/>
            <w:gridSpan w:val="7"/>
            <w:vMerge w:val="restart"/>
          </w:tcPr>
          <w:p>
            <w:pPr>
              <w:ind w:left="160"/>
              <w:spacing w:after="0" w:line="155" w:lineRule="exact"/>
              <w:rPr>
                <w:sz w:val="20"/>
                <w:szCs w:val="20"/>
                <w:color w:val="auto"/>
              </w:rPr>
            </w:pPr>
            <w:r>
              <w:rPr>
                <w:rFonts w:ascii="Times New Roman" w:cs="Times New Roman" w:eastAsia="Times New Roman" w:hAnsi="Times New Roman"/>
                <w:sz w:val="14"/>
                <w:szCs w:val="14"/>
                <w:color w:val="auto"/>
              </w:rPr>
              <w:t>skill and care and these authorities are</w:t>
            </w:r>
          </w:p>
        </w:tc>
        <w:tc>
          <w:tcPr>
            <w:tcW w:w="7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60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likely to be followed</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In general, actions of a director are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80" w:space="120"/>
            <w:col w:w="6419"/>
          </w:cols>
          <w:pgMar w:left="1440" w:top="104" w:right="1440" w:bottom="1440" w:gutter="0" w:footer="0" w:header="0"/>
          <w:type w:val="continuous"/>
        </w:sectPr>
      </w:pP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5" w:name="page36"/>
    <w:bookmarkEnd w:id="35"/>
    <w:p>
      <w:pPr>
        <w:ind w:left="4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Shareholder Action</w:t>
      </w:r>
    </w:p>
    <w:p>
      <w:pPr>
        <w:spacing w:after="0" w:line="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b w:val="1"/>
          <w:bCs w:val="1"/>
          <w:i w:val="1"/>
          <w:iCs w:val="1"/>
          <w:color w:val="auto"/>
        </w:rPr>
        <w:t>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Shareholder</w:t>
      </w:r>
    </w:p>
    <w:p>
      <w:pPr>
        <w:spacing w:after="0" w:line="40"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4"/>
          <w:szCs w:val="14"/>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Cumulative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7"/>
              </w:rPr>
              <w:t>Cayman Islands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3"/>
        </w:trPr>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1340" w:type="dxa"/>
            <w:vAlign w:val="bottom"/>
            <w:tcBorders>
              <w:top w:val="single" w:sz="8" w:color="auto"/>
            </w:tcBorders>
            <w:gridSpan w:val="4"/>
          </w:tcPr>
          <w:p>
            <w:pPr>
              <w:spacing w:after="0" w:line="153" w:lineRule="exact"/>
              <w:rPr>
                <w:sz w:val="20"/>
                <w:szCs w:val="20"/>
                <w:color w:val="auto"/>
              </w:rPr>
            </w:pPr>
            <w:r>
              <w:rPr>
                <w:rFonts w:ascii="Times New Roman" w:cs="Times New Roman" w:eastAsia="Times New Roman" w:hAnsi="Times New Roman"/>
                <w:sz w:val="14"/>
                <w:szCs w:val="14"/>
                <w:color w:val="auto"/>
              </w:rPr>
              <w:t>in the Cayman Islands.</w:t>
            </w:r>
          </w:p>
        </w:tc>
        <w:tc>
          <w:tcPr>
            <w:tcW w:w="4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2360" w:type="dxa"/>
            <w:vAlign w:val="bottom"/>
            <w:tcBorders>
              <w:top w:val="single" w:sz="8" w:color="auto"/>
            </w:tcBorders>
            <w:gridSpan w:val="6"/>
          </w:tcPr>
          <w:p>
            <w:pPr>
              <w:spacing w:after="0" w:line="153" w:lineRule="exact"/>
              <w:rPr>
                <w:sz w:val="20"/>
                <w:szCs w:val="20"/>
                <w:color w:val="auto"/>
              </w:rPr>
            </w:pPr>
            <w:r>
              <w:rPr>
                <w:rFonts w:ascii="Times New Roman" w:cs="Times New Roman" w:eastAsia="Times New Roman" w:hAnsi="Times New Roman"/>
                <w:sz w:val="14"/>
                <w:szCs w:val="14"/>
                <w:color w:val="auto"/>
              </w:rPr>
              <w:t>presumed  to  have  been  made  on  an</w:t>
            </w:r>
          </w:p>
        </w:tc>
        <w:tc>
          <w:tcPr>
            <w:tcW w:w="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informed basis, in good faith and in the</w:t>
            </w:r>
          </w:p>
        </w:tc>
      </w:tr>
      <w:tr>
        <w:trPr>
          <w:trHeight w:val="165"/>
        </w:trPr>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honest belief that the action taken was</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in the best interests of the corporation.</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However,  this  presumption  may  be</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rebutted by evidence of a breach of one</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of  the  fiduciary  duties.  Should  such</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evidence  be  presented  concerning  a</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transaction by a director, the director</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must prove the procedural fairness of</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transaction, and that the transaction</w:t>
            </w: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was of fair value to the corporation.</w:t>
            </w:r>
          </w:p>
        </w:tc>
      </w:tr>
      <w:tr>
        <w:trPr>
          <w:trHeight w:val="176"/>
        </w:trPr>
        <w:tc>
          <w:tcPr>
            <w:tcW w:w="31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 ​ Cayman Islands law and our Amended​ ​ Under</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2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General​</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and Restated Memorandum and Articles</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Corporation  Law,  a  corporation  may</w:t>
            </w:r>
          </w:p>
        </w:tc>
      </w:tr>
      <w:tr>
        <w:trPr>
          <w:trHeight w:val="165"/>
        </w:trPr>
        <w:tc>
          <w:tcPr>
            <w:tcW w:w="252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of   Association   provide   that   our</w:t>
            </w:r>
          </w:p>
        </w:tc>
        <w:tc>
          <w:tcPr>
            <w:tcW w:w="256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eliminate the right of shareholders to act</w:t>
            </w:r>
          </w:p>
        </w:tc>
      </w:tr>
      <w:tr>
        <w:trPr>
          <w:trHeight w:val="155"/>
        </w:trPr>
        <w:tc>
          <w:tcPr>
            <w:tcW w:w="9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shareholders</w:t>
            </w:r>
          </w:p>
        </w:tc>
        <w:tc>
          <w:tcPr>
            <w:tcW w:w="60" w:type="dxa"/>
            <w:vAlign w:val="bottom"/>
          </w:tcPr>
          <w:p>
            <w:pPr>
              <w:spacing w:after="0"/>
              <w:rPr>
                <w:sz w:val="13"/>
                <w:szCs w:val="13"/>
                <w:color w:val="auto"/>
              </w:rPr>
            </w:pPr>
          </w:p>
        </w:tc>
        <w:tc>
          <w:tcPr>
            <w:tcW w:w="9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may  approve</w:t>
            </w:r>
          </w:p>
        </w:tc>
        <w:tc>
          <w:tcPr>
            <w:tcW w:w="6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corporate</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by written consent by amendment to its</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matters by way of a unanimous written</w:t>
            </w:r>
          </w:p>
        </w:tc>
        <w:tc>
          <w:tcPr>
            <w:tcW w:w="1920" w:type="dxa"/>
            <w:vAlign w:val="bottom"/>
            <w:gridSpan w:val="6"/>
          </w:tcPr>
          <w:p>
            <w:pPr>
              <w:ind w:left="160"/>
              <w:spacing w:after="0" w:line="155" w:lineRule="exact"/>
              <w:rPr>
                <w:sz w:val="20"/>
                <w:szCs w:val="20"/>
                <w:color w:val="auto"/>
              </w:rPr>
            </w:pPr>
            <w:r>
              <w:rPr>
                <w:rFonts w:ascii="Times New Roman" w:cs="Times New Roman" w:eastAsia="Times New Roman" w:hAnsi="Times New Roman"/>
                <w:sz w:val="14"/>
                <w:szCs w:val="14"/>
                <w:color w:val="auto"/>
              </w:rPr>
              <w:t>certificate of incorporation.</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resolution signed by or on behalf of</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each shareholder who would have been</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entitled to vote on such matter at a</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general  meeting  without  a  meeting</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9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being held.</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The</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Companies</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provides​ ​ Under</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2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General​</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shareholders with only limited rights to</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Corporation Law, a shareholder has the</w:t>
            </w:r>
          </w:p>
        </w:tc>
      </w:tr>
      <w:tr>
        <w:trPr>
          <w:trHeight w:val="165"/>
        </w:trPr>
        <w:tc>
          <w:tcPr>
            <w:tcW w:w="252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requisition a general meeting, and does</w:t>
            </w:r>
          </w:p>
        </w:tc>
        <w:tc>
          <w:tcPr>
            <w:tcW w:w="256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right  to  put  any  proposal  before  the</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not provide shareholders with any right</w:t>
            </w:r>
          </w:p>
        </w:tc>
        <w:tc>
          <w:tcPr>
            <w:tcW w:w="6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annual</w:t>
            </w:r>
          </w:p>
        </w:tc>
        <w:tc>
          <w:tcPr>
            <w:tcW w:w="5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meeting</w:t>
            </w:r>
          </w:p>
        </w:tc>
        <w:tc>
          <w:tcPr>
            <w:tcW w:w="5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8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shareholders;</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to put any proposal before a general</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provided that it complies with the notice</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meeting. However, these rights may be</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provisions in the governing documents.</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provided  in  a  company’s  articles  of</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A special meeting may be called by the</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association. However, the Articles do</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board of directors or any other person</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not contain such rights. As a Cayman</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authorized to do so in the governing</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Islands exempted company, we are not</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documents,  but  shareholders  may  be</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obliged  by  law  to  call  shareholders’</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precluded from calling special meetings.</w:t>
            </w:r>
          </w:p>
        </w:tc>
      </w:tr>
      <w:tr>
        <w:trPr>
          <w:trHeight w:val="155"/>
        </w:trPr>
        <w:tc>
          <w:tcPr>
            <w:tcW w:w="1900" w:type="dxa"/>
            <w:vAlign w:val="bottom"/>
            <w:gridSpan w:val="6"/>
          </w:tcPr>
          <w:p>
            <w:pPr>
              <w:ind w:left="160"/>
              <w:spacing w:after="0" w:line="155" w:lineRule="exact"/>
              <w:rPr>
                <w:sz w:val="20"/>
                <w:szCs w:val="20"/>
                <w:color w:val="auto"/>
              </w:rPr>
            </w:pPr>
            <w:r>
              <w:rPr>
                <w:rFonts w:ascii="Times New Roman" w:cs="Times New Roman" w:eastAsia="Times New Roman" w:hAnsi="Times New Roman"/>
                <w:sz w:val="14"/>
                <w:szCs w:val="14"/>
                <w:color w:val="auto"/>
              </w:rPr>
              <w:t>annual general meetings.</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31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 ​ Cumulative voting potentially facilitates​ ​ Under</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2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General​</w:t>
            </w:r>
          </w:p>
        </w:tc>
      </w:tr>
      <w:tr>
        <w:trPr>
          <w:trHeight w:val="155"/>
        </w:trPr>
        <w:tc>
          <w:tcPr>
            <w:tcW w:w="48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the</w:t>
            </w:r>
          </w:p>
        </w:tc>
        <w:tc>
          <w:tcPr>
            <w:tcW w:w="10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color w:val="auto"/>
              </w:rPr>
              <w:t>representation</w:t>
            </w:r>
          </w:p>
        </w:tc>
        <w:tc>
          <w:tcPr>
            <w:tcW w:w="4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6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minority</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Corporation Law, cumulative voting for</w:t>
            </w:r>
          </w:p>
        </w:tc>
      </w:tr>
      <w:tr>
        <w:trPr>
          <w:trHeight w:val="165"/>
        </w:trPr>
        <w:tc>
          <w:tcPr>
            <w:tcW w:w="252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shareholders  on  a  board  of  directors</w:t>
            </w:r>
          </w:p>
        </w:tc>
        <w:tc>
          <w:tcPr>
            <w:tcW w:w="256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elections of directors is not permitted</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since it permits the minority shareholder</w:t>
            </w:r>
          </w:p>
        </w:tc>
        <w:tc>
          <w:tcPr>
            <w:tcW w:w="256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unless the corporation’s certificate of</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to  cast  all  the  votes  to  which  the</w:t>
            </w:r>
          </w:p>
        </w:tc>
        <w:tc>
          <w:tcPr>
            <w:tcW w:w="10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incorporation</w:t>
            </w:r>
          </w:p>
        </w:tc>
        <w:tc>
          <w:tcPr>
            <w:tcW w:w="7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specifically</w:t>
            </w:r>
          </w:p>
        </w:tc>
        <w:tc>
          <w:tcPr>
            <w:tcW w:w="8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provides for</w:t>
            </w: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shareholder  is  entitled  on  a  single</w:t>
            </w:r>
          </w:p>
        </w:tc>
        <w:tc>
          <w:tcPr>
            <w:tcW w:w="6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it.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9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director,</w:t>
            </w:r>
          </w:p>
        </w:tc>
        <w:tc>
          <w:tcPr>
            <w:tcW w:w="6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which</w:t>
            </w:r>
          </w:p>
        </w:tc>
        <w:tc>
          <w:tcPr>
            <w:tcW w:w="7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increases</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the</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shareholder’s voting power with respect</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to electing such director. There are no</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prohibitions in relation to cumulative</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voting under the laws of the Cayman</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gridSpan w:val="8"/>
          </w:tcPr>
          <w:p>
            <w:pPr>
              <w:ind w:left="160"/>
              <w:spacing w:after="0" w:line="155" w:lineRule="exact"/>
              <w:rPr>
                <w:sz w:val="20"/>
                <w:szCs w:val="20"/>
                <w:color w:val="auto"/>
              </w:rPr>
            </w:pPr>
            <w:r>
              <w:rPr>
                <w:rFonts w:ascii="Times New Roman" w:cs="Times New Roman" w:eastAsia="Times New Roman" w:hAnsi="Times New Roman"/>
                <w:sz w:val="14"/>
                <w:szCs w:val="14"/>
                <w:color w:val="auto"/>
              </w:rPr>
              <w:t>Islands, but our Amended and Restated</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9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w w:val="98"/>
              </w:rPr>
              <w:t>Memorandum</w:t>
            </w:r>
          </w:p>
        </w:tc>
        <w:tc>
          <w:tcPr>
            <w:tcW w:w="5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w w:val="98"/>
              </w:rPr>
              <w:t>and</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Articles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ind w:left="160"/>
        <w:spacing w:after="0" w:line="231" w:lineRule="auto"/>
        <w:tabs>
          <w:tab w:leader="none" w:pos="1000" w:val="left"/>
          <w:tab w:leader="none" w:pos="1340" w:val="left"/>
          <w:tab w:leader="none" w:pos="1700" w:val="left"/>
          <w:tab w:leader="none" w:pos="2320" w:val="left"/>
        </w:tabs>
        <w:rPr>
          <w:sz w:val="20"/>
          <w:szCs w:val="20"/>
          <w:color w:val="auto"/>
        </w:rPr>
      </w:pPr>
      <w:r>
        <w:rPr>
          <w:rFonts w:ascii="Times New Roman" w:cs="Times New Roman" w:eastAsia="Times New Roman" w:hAnsi="Times New Roman"/>
          <w:sz w:val="14"/>
          <w:szCs w:val="14"/>
          <w:color w:val="auto"/>
        </w:rPr>
        <w:t>Association</w:t>
        <w:tab/>
        <w:t>do</w:t>
        <w:tab/>
        <w:t>not</w:t>
        <w:tab/>
        <w:t>provide</w:t>
        <w:tab/>
        <w:t>for</w:t>
      </w:r>
    </w:p>
    <w:p>
      <w:pPr>
        <w:ind w:left="160"/>
        <w:spacing w:after="0" w:line="231" w:lineRule="auto"/>
        <w:rPr>
          <w:sz w:val="20"/>
          <w:szCs w:val="20"/>
          <w:color w:val="auto"/>
        </w:rPr>
      </w:pPr>
      <w:r>
        <w:rPr>
          <w:rFonts w:ascii="Times New Roman" w:cs="Times New Roman" w:eastAsia="Times New Roman" w:hAnsi="Times New Roman"/>
          <w:sz w:val="14"/>
          <w:szCs w:val="14"/>
          <w:color w:val="auto"/>
        </w:rPr>
        <w:t>cumulative  voting.  As  a  result,  our</w:t>
      </w:r>
    </w:p>
    <w:p>
      <w:pPr>
        <w:ind w:left="160"/>
        <w:spacing w:after="0" w:line="231" w:lineRule="auto"/>
        <w:rPr>
          <w:sz w:val="20"/>
          <w:szCs w:val="20"/>
          <w:color w:val="auto"/>
        </w:rPr>
      </w:pPr>
      <w:r>
        <w:rPr>
          <w:rFonts w:ascii="Times New Roman" w:cs="Times New Roman" w:eastAsia="Times New Roman" w:hAnsi="Times New Roman"/>
          <w:sz w:val="14"/>
          <w:szCs w:val="14"/>
          <w:color w:val="auto"/>
        </w:rPr>
        <w:t>shareholders are not afforded any less</w:t>
      </w:r>
    </w:p>
    <w:p>
      <w:pPr>
        <w:ind w:left="160"/>
        <w:spacing w:after="0" w:line="232" w:lineRule="auto"/>
        <w:rPr>
          <w:sz w:val="20"/>
          <w:szCs w:val="20"/>
          <w:color w:val="auto"/>
        </w:rPr>
      </w:pPr>
      <w:r>
        <w:rPr>
          <w:rFonts w:ascii="Times New Roman" w:cs="Times New Roman" w:eastAsia="Times New Roman" w:hAnsi="Times New Roman"/>
          <w:sz w:val="14"/>
          <w:szCs w:val="14"/>
          <w:color w:val="auto"/>
        </w:rPr>
        <w:t>protections or rights on this issue than</w:t>
      </w:r>
    </w:p>
    <w:p>
      <w:pPr>
        <w:ind w:left="160"/>
        <w:spacing w:after="0"/>
        <w:rPr>
          <w:sz w:val="20"/>
          <w:szCs w:val="20"/>
          <w:color w:val="auto"/>
        </w:rPr>
      </w:pPr>
      <w:r>
        <w:rPr>
          <w:rFonts w:ascii="Times New Roman" w:cs="Times New Roman" w:eastAsia="Times New Roman" w:hAnsi="Times New Roman"/>
          <w:sz w:val="14"/>
          <w:szCs w:val="14"/>
          <w:color w:val="auto"/>
        </w:rPr>
        <w:t>shareholders of a Delaware corporation.</w:t>
      </w:r>
    </w:p>
    <w:p>
      <w:pPr>
        <w:spacing w:after="0" w:line="200" w:lineRule="exact"/>
        <w:rPr>
          <w:sz w:val="20"/>
          <w:szCs w:val="20"/>
          <w:color w:val="auto"/>
        </w:rPr>
      </w:pPr>
    </w:p>
    <w:p>
      <w:pPr>
        <w:sectPr>
          <w:pgSz w:w="11900" w:h="16838" w:orient="portrait"/>
          <w:cols w:equalWidth="0" w:num="2">
            <w:col w:w="2540" w:space="60"/>
            <w:col w:w="6419"/>
          </w:cols>
          <w:pgMar w:left="1440" w:top="108" w:right="1440" w:bottom="1440" w:gutter="0" w:footer="0" w:header="0"/>
          <w:type w:val="continuous"/>
        </w:sect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36" w:name="page37"/>
    <w:bookmarkEnd w:id="36"/>
    <w:p>
      <w:pPr>
        <w:ind w:left="4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Removal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6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Cayman Islands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2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6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3"/>
        </w:trPr>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Under  our</w:t>
            </w:r>
          </w:p>
        </w:tc>
        <w:tc>
          <w:tcPr>
            <w:tcW w:w="1680" w:type="dxa"/>
            <w:vAlign w:val="bottom"/>
            <w:tcBorders>
              <w:top w:val="single" w:sz="8" w:color="auto"/>
            </w:tcBorders>
          </w:tcPr>
          <w:p>
            <w:pPr>
              <w:ind w:left="40"/>
              <w:spacing w:after="0" w:line="153" w:lineRule="exact"/>
              <w:rPr>
                <w:sz w:val="20"/>
                <w:szCs w:val="20"/>
                <w:color w:val="auto"/>
              </w:rPr>
            </w:pPr>
            <w:r>
              <w:rPr>
                <w:rFonts w:ascii="Times New Roman" w:cs="Times New Roman" w:eastAsia="Times New Roman" w:hAnsi="Times New Roman"/>
                <w:sz w:val="14"/>
                <w:szCs w:val="14"/>
                <w:color w:val="auto"/>
              </w:rPr>
              <w:t>Articles,  a  director  (other</w:t>
            </w: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Under</w:t>
            </w:r>
          </w:p>
        </w:tc>
        <w:tc>
          <w:tcPr>
            <w:tcW w:w="320" w:type="dxa"/>
            <w:vAlign w:val="bottom"/>
            <w:tcBorders>
              <w:top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the</w:t>
            </w:r>
          </w:p>
        </w:tc>
        <w:tc>
          <w:tcPr>
            <w:tcW w:w="940" w:type="dxa"/>
            <w:vAlign w:val="bottom"/>
            <w:tcBorders>
              <w:top w:val="single" w:sz="8" w:color="auto"/>
            </w:tcBorders>
          </w:tcPr>
          <w:p>
            <w:pPr>
              <w:ind w:left="260"/>
              <w:spacing w:after="0" w:line="153" w:lineRule="exact"/>
              <w:rPr>
                <w:sz w:val="20"/>
                <w:szCs w:val="20"/>
                <w:color w:val="auto"/>
              </w:rPr>
            </w:pPr>
            <w:r>
              <w:rPr>
                <w:rFonts w:ascii="Times New Roman" w:cs="Times New Roman" w:eastAsia="Times New Roman" w:hAnsi="Times New Roman"/>
                <w:sz w:val="14"/>
                <w:szCs w:val="14"/>
                <w:color w:val="auto"/>
              </w:rPr>
              <w:t>Delaware</w:t>
            </w:r>
          </w:p>
        </w:tc>
        <w:tc>
          <w:tcPr>
            <w:tcW w:w="6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General</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5"/>
        </w:trPr>
        <w:tc>
          <w:tcPr>
            <w:tcW w:w="252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than the Sponsor Director and any of the</w:t>
            </w:r>
          </w:p>
        </w:tc>
        <w:tc>
          <w:tcPr>
            <w:tcW w:w="9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Corporation</w:t>
            </w:r>
          </w:p>
        </w:tc>
        <w:tc>
          <w:tcPr>
            <w:tcW w:w="15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Law,  a  director  of  a</w:t>
            </w:r>
          </w:p>
        </w:tc>
      </w:tr>
      <w:tr>
        <w:trPr>
          <w:trHeight w:val="179"/>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Betters Directors) may be removed by</w:t>
            </w: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corporation with a classified board may</w:t>
            </w:r>
          </w:p>
        </w:tc>
      </w:tr>
    </w:tbl>
    <w:p>
      <w:pPr>
        <w:spacing w:after="0" w:line="1" w:lineRule="exact"/>
        <w:rPr>
          <w:sz w:val="20"/>
          <w:szCs w:val="20"/>
          <w:color w:val="auto"/>
        </w:rPr>
      </w:pPr>
    </w:p>
    <w:p>
      <w:pPr>
        <w:sectPr>
          <w:pgSz w:w="11900" w:h="16838" w:orient="portrait"/>
          <w:cols w:equalWidth="0" w:num="2">
            <w:col w:w="2520" w:space="80"/>
            <w:col w:w="6419"/>
          </w:cols>
          <w:pgMar w:left="1440" w:top="108" w:right="1440" w:bottom="1440" w:gutter="0" w:footer="0" w:header="0"/>
          <w:type w:val="continuous"/>
        </w:sectPr>
      </w:pPr>
    </w:p>
    <w:p>
      <w:pPr>
        <w:ind w:left="2760"/>
        <w:spacing w:after="0"/>
        <w:tabs>
          <w:tab w:leader="none" w:pos="3100" w:val="left"/>
          <w:tab w:leader="none" w:pos="3360" w:val="left"/>
          <w:tab w:leader="none" w:pos="3640" w:val="left"/>
          <w:tab w:leader="none" w:pos="4260" w:val="left"/>
          <w:tab w:leader="none" w:pos="4980" w:val="left"/>
        </w:tabs>
        <w:rPr>
          <w:sz w:val="20"/>
          <w:szCs w:val="20"/>
          <w:color w:val="auto"/>
        </w:rPr>
      </w:pPr>
      <w:r>
        <w:rPr>
          <w:rFonts w:ascii="Times New Roman" w:cs="Times New Roman" w:eastAsia="Times New Roman" w:hAnsi="Times New Roman"/>
          <w:sz w:val="14"/>
          <w:szCs w:val="14"/>
          <w:color w:val="auto"/>
        </w:rPr>
        <w:t>way</w:t>
        <w:tab/>
        <w:t>of</w:t>
        <w:tab/>
        <w:t>an</w:t>
        <w:tab/>
        <w:t>ordinary</w:t>
        <w:tab/>
        <w:t>resolution</w:t>
      </w:r>
      <w:r>
        <w:rPr>
          <w:sz w:val="20"/>
          <w:szCs w:val="20"/>
          <w:color w:val="auto"/>
        </w:rPr>
        <w:tab/>
      </w:r>
      <w:r>
        <w:rPr>
          <w:rFonts w:ascii="Times New Roman" w:cs="Times New Roman" w:eastAsia="Times New Roman" w:hAnsi="Times New Roman"/>
          <w:sz w:val="11"/>
          <w:szCs w:val="11"/>
          <w:color w:val="auto"/>
        </w:rPr>
        <w:t>of</w:t>
      </w:r>
    </w:p>
    <w:p>
      <w:pPr>
        <w:ind w:left="2760"/>
        <w:spacing w:after="0" w:line="231" w:lineRule="auto"/>
        <w:rPr>
          <w:sz w:val="20"/>
          <w:szCs w:val="20"/>
          <w:color w:val="auto"/>
        </w:rPr>
      </w:pPr>
      <w:r>
        <w:rPr>
          <w:rFonts w:ascii="Times New Roman" w:cs="Times New Roman" w:eastAsia="Times New Roman" w:hAnsi="Times New Roman"/>
          <w:sz w:val="14"/>
          <w:szCs w:val="14"/>
          <w:color w:val="auto"/>
        </w:rPr>
        <w:t>shareholders  at  any  time  before  the</w:t>
      </w:r>
    </w:p>
    <w:p>
      <w:pPr>
        <w:ind w:left="2760"/>
        <w:spacing w:after="0"/>
        <w:tabs>
          <w:tab w:leader="none" w:pos="3460" w:val="left"/>
          <w:tab w:leader="none" w:pos="3700" w:val="left"/>
          <w:tab w:leader="none" w:pos="4000" w:val="left"/>
          <w:tab w:leader="none" w:pos="4500" w:val="left"/>
          <w:tab w:leader="none" w:pos="4760" w:val="left"/>
        </w:tabs>
        <w:rPr>
          <w:sz w:val="20"/>
          <w:szCs w:val="20"/>
          <w:color w:val="auto"/>
        </w:rPr>
      </w:pPr>
      <w:r>
        <w:rPr>
          <w:rFonts w:ascii="Times New Roman" w:cs="Times New Roman" w:eastAsia="Times New Roman" w:hAnsi="Times New Roman"/>
          <w:sz w:val="14"/>
          <w:szCs w:val="14"/>
          <w:color w:val="auto"/>
        </w:rPr>
        <w:t>expiration</w:t>
        <w:tab/>
        <w:t>of</w:t>
        <w:tab/>
        <w:t>his</w:t>
        <w:tab/>
        <w:t>period</w:t>
        <w:tab/>
        <w:t>of</w:t>
      </w:r>
      <w:r>
        <w:rPr>
          <w:sz w:val="20"/>
          <w:szCs w:val="20"/>
          <w:color w:val="auto"/>
        </w:rPr>
        <w:tab/>
      </w:r>
      <w:r>
        <w:rPr>
          <w:rFonts w:ascii="Times New Roman" w:cs="Times New Roman" w:eastAsia="Times New Roman" w:hAnsi="Times New Roman"/>
          <w:sz w:val="13"/>
          <w:szCs w:val="13"/>
          <w:color w:val="auto"/>
        </w:rPr>
        <w:t>office</w:t>
      </w:r>
    </w:p>
    <w:p>
      <w:pPr>
        <w:ind w:left="2760"/>
        <w:spacing w:after="0" w:line="231" w:lineRule="auto"/>
        <w:rPr>
          <w:sz w:val="20"/>
          <w:szCs w:val="20"/>
          <w:color w:val="auto"/>
        </w:rPr>
      </w:pPr>
      <w:r>
        <w:rPr>
          <w:rFonts w:ascii="Times New Roman" w:cs="Times New Roman" w:eastAsia="Times New Roman" w:hAnsi="Times New Roman"/>
          <w:sz w:val="14"/>
          <w:szCs w:val="14"/>
          <w:color w:val="auto"/>
        </w:rPr>
        <w:t>notwithstanding anything in the Articles</w:t>
      </w:r>
    </w:p>
    <w:p>
      <w:pPr>
        <w:ind w:left="2760"/>
        <w:spacing w:after="0"/>
        <w:tabs>
          <w:tab w:leader="none" w:pos="2980" w:val="left"/>
          <w:tab w:leader="none" w:pos="3220" w:val="left"/>
          <w:tab w:leader="none" w:pos="3560" w:val="left"/>
          <w:tab w:leader="none" w:pos="4280" w:val="left"/>
          <w:tab w:leader="none" w:pos="4900" w:val="left"/>
        </w:tabs>
        <w:rPr>
          <w:sz w:val="20"/>
          <w:szCs w:val="20"/>
          <w:color w:val="auto"/>
        </w:rPr>
      </w:pPr>
      <w:r>
        <w:rPr>
          <w:rFonts w:ascii="Times New Roman" w:cs="Times New Roman" w:eastAsia="Times New Roman" w:hAnsi="Times New Roman"/>
          <w:sz w:val="14"/>
          <w:szCs w:val="14"/>
          <w:color w:val="auto"/>
        </w:rPr>
        <w:t>or</w:t>
        <w:tab/>
        <w:t>in</w:t>
        <w:tab/>
        <w:t>any</w:t>
        <w:tab/>
        <w:t>agreement</w:t>
        <w:tab/>
        <w:t>between</w:t>
      </w:r>
      <w:r>
        <w:rPr>
          <w:sz w:val="20"/>
          <w:szCs w:val="20"/>
          <w:color w:val="auto"/>
        </w:rPr>
        <w:tab/>
      </w:r>
      <w:r>
        <w:rPr>
          <w:rFonts w:ascii="Times New Roman" w:cs="Times New Roman" w:eastAsia="Times New Roman" w:hAnsi="Times New Roman"/>
          <w:sz w:val="13"/>
          <w:szCs w:val="13"/>
          <w:color w:val="auto"/>
        </w:rPr>
        <w:t>our</w:t>
      </w:r>
    </w:p>
    <w:p>
      <w:pPr>
        <w:ind w:left="2760"/>
        <w:spacing w:after="0" w:line="231" w:lineRule="auto"/>
        <w:tabs>
          <w:tab w:leader="none" w:pos="3560" w:val="left"/>
          <w:tab w:leader="none" w:pos="4060" w:val="left"/>
          <w:tab w:leader="none" w:pos="4600" w:val="left"/>
        </w:tabs>
        <w:rPr>
          <w:sz w:val="20"/>
          <w:szCs w:val="20"/>
          <w:color w:val="auto"/>
        </w:rPr>
      </w:pPr>
      <w:r>
        <w:rPr>
          <w:rFonts w:ascii="Times New Roman" w:cs="Times New Roman" w:eastAsia="Times New Roman" w:hAnsi="Times New Roman"/>
          <w:sz w:val="14"/>
          <w:szCs w:val="14"/>
          <w:color w:val="auto"/>
        </w:rPr>
        <w:t>company</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such</w:t>
      </w:r>
      <w:r>
        <w:rPr>
          <w:sz w:val="20"/>
          <w:szCs w:val="20"/>
          <w:color w:val="auto"/>
        </w:rPr>
        <w:tab/>
      </w:r>
      <w:r>
        <w:rPr>
          <w:rFonts w:ascii="Times New Roman" w:cs="Times New Roman" w:eastAsia="Times New Roman" w:hAnsi="Times New Roman"/>
          <w:sz w:val="14"/>
          <w:szCs w:val="14"/>
          <w:color w:val="auto"/>
        </w:rPr>
        <w:t>director.</w:t>
      </w:r>
    </w:p>
    <w:p>
      <w:pPr>
        <w:ind w:left="2760"/>
        <w:spacing w:after="0"/>
        <w:tabs>
          <w:tab w:leader="none" w:pos="3840" w:val="left"/>
          <w:tab w:leader="none" w:pos="4160" w:val="left"/>
          <w:tab w:leader="none" w:pos="4920" w:val="left"/>
        </w:tabs>
        <w:rPr>
          <w:sz w:val="20"/>
          <w:szCs w:val="20"/>
          <w:color w:val="auto"/>
        </w:rPr>
      </w:pPr>
      <w:r>
        <w:rPr>
          <w:rFonts w:ascii="Times New Roman" w:cs="Times New Roman" w:eastAsia="Times New Roman" w:hAnsi="Times New Roman"/>
          <w:sz w:val="14"/>
          <w:szCs w:val="14"/>
          <w:color w:val="auto"/>
        </w:rPr>
        <w:t>Notwithstanding</w:t>
        <w:tab/>
        <w:t>the</w:t>
        <w:tab/>
        <w:t>foregoing,</w:t>
      </w:r>
      <w:r>
        <w:rPr>
          <w:sz w:val="20"/>
          <w:szCs w:val="20"/>
          <w:color w:val="auto"/>
        </w:rPr>
        <w:tab/>
      </w:r>
      <w:r>
        <w:rPr>
          <w:rFonts w:ascii="Times New Roman" w:cs="Times New Roman" w:eastAsia="Times New Roman" w:hAnsi="Times New Roman"/>
          <w:sz w:val="13"/>
          <w:szCs w:val="13"/>
          <w:color w:val="auto"/>
        </w:rPr>
        <w:t>the</w:t>
      </w:r>
    </w:p>
    <w:p>
      <w:pPr>
        <w:ind w:left="2760"/>
        <w:spacing w:after="0" w:line="232" w:lineRule="auto"/>
        <w:rPr>
          <w:sz w:val="20"/>
          <w:szCs w:val="20"/>
          <w:color w:val="auto"/>
        </w:rPr>
      </w:pPr>
      <w:r>
        <w:rPr>
          <w:rFonts w:ascii="Times New Roman" w:cs="Times New Roman" w:eastAsia="Times New Roman" w:hAnsi="Times New Roman"/>
          <w:sz w:val="14"/>
          <w:szCs w:val="14"/>
          <w:color w:val="auto"/>
        </w:rPr>
        <w:t>Sponsor Director may be removed by</w:t>
      </w:r>
    </w:p>
    <w:p>
      <w:pPr>
        <w:ind w:left="2760"/>
        <w:spacing w:after="0" w:line="231" w:lineRule="auto"/>
        <w:rPr>
          <w:sz w:val="20"/>
          <w:szCs w:val="20"/>
          <w:color w:val="auto"/>
        </w:rPr>
      </w:pPr>
      <w:r>
        <w:rPr>
          <w:rFonts w:ascii="Times New Roman" w:cs="Times New Roman" w:eastAsia="Times New Roman" w:hAnsi="Times New Roman"/>
          <w:sz w:val="14"/>
          <w:szCs w:val="14"/>
          <w:color w:val="auto"/>
        </w:rPr>
        <w:t>the Sponsor and the Betters Directors</w:t>
      </w:r>
    </w:p>
    <w:p>
      <w:pPr>
        <w:ind w:left="2760"/>
        <w:spacing w:after="0" w:line="231" w:lineRule="auto"/>
        <w:rPr>
          <w:sz w:val="20"/>
          <w:szCs w:val="20"/>
          <w:color w:val="auto"/>
        </w:rPr>
      </w:pPr>
      <w:r>
        <w:rPr>
          <w:rFonts w:ascii="Times New Roman" w:cs="Times New Roman" w:eastAsia="Times New Roman" w:hAnsi="Times New Roman"/>
          <w:sz w:val="14"/>
          <w:szCs w:val="14"/>
          <w:color w:val="auto"/>
        </w:rPr>
        <w:t>may be removed by Betters Medical (or</w:t>
      </w:r>
    </w:p>
    <w:p>
      <w:pPr>
        <w:ind w:left="2760"/>
        <w:spacing w:after="0" w:line="231" w:lineRule="auto"/>
        <w:rPr>
          <w:sz w:val="20"/>
          <w:szCs w:val="20"/>
          <w:color w:val="auto"/>
        </w:rPr>
      </w:pPr>
      <w:r>
        <w:rPr>
          <w:rFonts w:ascii="Times New Roman" w:cs="Times New Roman" w:eastAsia="Times New Roman" w:hAnsi="Times New Roman"/>
          <w:sz w:val="14"/>
          <w:szCs w:val="14"/>
          <w:color w:val="auto"/>
        </w:rPr>
        <w:t>its affiliates), in each case, by written</w:t>
      </w:r>
    </w:p>
    <w:p>
      <w:pPr>
        <w:ind w:left="2760"/>
        <w:spacing w:after="0" w:line="232" w:lineRule="auto"/>
        <w:rPr>
          <w:sz w:val="20"/>
          <w:szCs w:val="20"/>
          <w:color w:val="auto"/>
        </w:rPr>
      </w:pPr>
      <w:r>
        <w:rPr>
          <w:rFonts w:ascii="Times New Roman" w:cs="Times New Roman" w:eastAsia="Times New Roman" w:hAnsi="Times New Roman"/>
          <w:sz w:val="14"/>
          <w:szCs w:val="14"/>
          <w:color w:val="auto"/>
        </w:rPr>
        <w:t>notice to our company. A vacancy on</w:t>
      </w:r>
    </w:p>
    <w:p>
      <w:pPr>
        <w:ind w:left="2760"/>
        <w:spacing w:after="0" w:line="231" w:lineRule="auto"/>
        <w:rPr>
          <w:sz w:val="20"/>
          <w:szCs w:val="20"/>
          <w:color w:val="auto"/>
        </w:rPr>
      </w:pPr>
      <w:r>
        <w:rPr>
          <w:rFonts w:ascii="Times New Roman" w:cs="Times New Roman" w:eastAsia="Times New Roman" w:hAnsi="Times New Roman"/>
          <w:sz w:val="14"/>
          <w:szCs w:val="14"/>
          <w:color w:val="auto"/>
        </w:rPr>
        <w:t>the board created by the removal of a</w:t>
      </w:r>
    </w:p>
    <w:p>
      <w:pPr>
        <w:ind w:left="2760"/>
        <w:spacing w:after="0" w:line="231" w:lineRule="auto"/>
        <w:rPr>
          <w:sz w:val="20"/>
          <w:szCs w:val="20"/>
          <w:color w:val="auto"/>
        </w:rPr>
      </w:pPr>
      <w:r>
        <w:rPr>
          <w:rFonts w:ascii="Times New Roman" w:cs="Times New Roman" w:eastAsia="Times New Roman" w:hAnsi="Times New Roman"/>
          <w:sz w:val="14"/>
          <w:szCs w:val="14"/>
          <w:color w:val="auto"/>
        </w:rPr>
        <w:t>director pursuant to the above may be</w:t>
      </w:r>
    </w:p>
    <w:p>
      <w:pPr>
        <w:ind w:left="2760"/>
        <w:spacing w:after="0" w:line="231" w:lineRule="auto"/>
        <w:rPr>
          <w:sz w:val="20"/>
          <w:szCs w:val="20"/>
          <w:color w:val="auto"/>
        </w:rPr>
      </w:pPr>
      <w:r>
        <w:rPr>
          <w:rFonts w:ascii="Times New Roman" w:cs="Times New Roman" w:eastAsia="Times New Roman" w:hAnsi="Times New Roman"/>
          <w:sz w:val="14"/>
          <w:szCs w:val="14"/>
          <w:color w:val="auto"/>
        </w:rPr>
        <w:t>filled by the election or appointment by</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ordinary resolution of shareholders at</w:t>
      </w:r>
    </w:p>
    <w:p>
      <w:pPr>
        <w:ind w:left="2760"/>
        <w:spacing w:after="0" w:line="237" w:lineRule="auto"/>
        <w:rPr>
          <w:sz w:val="20"/>
          <w:szCs w:val="20"/>
          <w:color w:val="auto"/>
        </w:rPr>
      </w:pPr>
      <w:r>
        <w:rPr>
          <w:rFonts w:ascii="Times New Roman" w:cs="Times New Roman" w:eastAsia="Times New Roman" w:hAnsi="Times New Roman"/>
          <w:sz w:val="14"/>
          <w:szCs w:val="14"/>
          <w:color w:val="auto"/>
        </w:rPr>
        <w:t>the meeting at which such director is</w:t>
      </w:r>
    </w:p>
    <w:p>
      <w:pPr>
        <w:ind w:left="2760"/>
        <w:spacing w:after="0" w:line="232" w:lineRule="auto"/>
        <w:rPr>
          <w:sz w:val="20"/>
          <w:szCs w:val="20"/>
          <w:color w:val="auto"/>
        </w:rPr>
      </w:pPr>
      <w:r>
        <w:rPr>
          <w:rFonts w:ascii="Times New Roman" w:cs="Times New Roman" w:eastAsia="Times New Roman" w:hAnsi="Times New Roman"/>
          <w:sz w:val="14"/>
          <w:szCs w:val="14"/>
          <w:color w:val="auto"/>
        </w:rPr>
        <w:t>removed or by the affirmative vote of a</w:t>
      </w:r>
    </w:p>
    <w:p>
      <w:pPr>
        <w:ind w:left="2760"/>
        <w:spacing w:after="0" w:line="231" w:lineRule="auto"/>
        <w:tabs>
          <w:tab w:leader="none" w:pos="3280" w:val="left"/>
          <w:tab w:leader="none" w:pos="3920" w:val="left"/>
          <w:tab w:leader="none" w:pos="4180" w:val="left"/>
          <w:tab w:leader="none" w:pos="4520" w:val="left"/>
        </w:tabs>
        <w:rPr>
          <w:sz w:val="20"/>
          <w:szCs w:val="20"/>
          <w:color w:val="auto"/>
        </w:rPr>
      </w:pPr>
      <w:r>
        <w:rPr>
          <w:rFonts w:ascii="Times New Roman" w:cs="Times New Roman" w:eastAsia="Times New Roman" w:hAnsi="Times New Roman"/>
          <w:sz w:val="14"/>
          <w:szCs w:val="14"/>
          <w:color w:val="auto"/>
        </w:rPr>
        <w:t>simple</w:t>
        <w:tab/>
        <w:t>majority</w:t>
        <w:tab/>
        <w:t>of</w:t>
        <w:tab/>
        <w:t>the</w:t>
        <w:tab/>
        <w:t>remaining</w:t>
      </w:r>
    </w:p>
    <w:p>
      <w:pPr>
        <w:ind w:left="2760"/>
        <w:spacing w:after="0" w:line="231" w:lineRule="auto"/>
        <w:rPr>
          <w:sz w:val="20"/>
          <w:szCs w:val="20"/>
          <w:color w:val="auto"/>
        </w:rPr>
      </w:pPr>
      <w:r>
        <w:rPr>
          <w:rFonts w:ascii="Times New Roman" w:cs="Times New Roman" w:eastAsia="Times New Roman" w:hAnsi="Times New Roman"/>
          <w:sz w:val="14"/>
          <w:szCs w:val="14"/>
          <w:color w:val="auto"/>
        </w:rPr>
        <w:t>directors present and voting at a board</w:t>
      </w:r>
    </w:p>
    <w:p>
      <w:pPr>
        <w:ind w:left="2760"/>
        <w:spacing w:after="0" w:line="231" w:lineRule="auto"/>
        <w:rPr>
          <w:sz w:val="20"/>
          <w:szCs w:val="20"/>
          <w:color w:val="auto"/>
        </w:rPr>
      </w:pPr>
      <w:r>
        <w:rPr>
          <w:rFonts w:ascii="Times New Roman" w:cs="Times New Roman" w:eastAsia="Times New Roman" w:hAnsi="Times New Roman"/>
          <w:sz w:val="14"/>
          <w:szCs w:val="14"/>
          <w:color w:val="auto"/>
        </w:rPr>
        <w:t>meeting provided, that in the case of the</w:t>
      </w:r>
    </w:p>
    <w:p>
      <w:pPr>
        <w:ind w:left="2760"/>
        <w:spacing w:after="0" w:line="232" w:lineRule="auto"/>
        <w:rPr>
          <w:sz w:val="20"/>
          <w:szCs w:val="20"/>
          <w:color w:val="auto"/>
        </w:rPr>
      </w:pPr>
      <w:r>
        <w:rPr>
          <w:rFonts w:ascii="Times New Roman" w:cs="Times New Roman" w:eastAsia="Times New Roman" w:hAnsi="Times New Roman"/>
          <w:sz w:val="14"/>
          <w:szCs w:val="14"/>
          <w:color w:val="auto"/>
        </w:rPr>
        <w:t>removal of the Sponsor Director or any</w:t>
      </w:r>
    </w:p>
    <w:p>
      <w:pPr>
        <w:ind w:left="2760"/>
        <w:spacing w:after="0" w:line="231" w:lineRule="auto"/>
        <w:rPr>
          <w:sz w:val="20"/>
          <w:szCs w:val="20"/>
          <w:color w:val="auto"/>
        </w:rPr>
      </w:pPr>
      <w:r>
        <w:rPr>
          <w:rFonts w:ascii="Times New Roman" w:cs="Times New Roman" w:eastAsia="Times New Roman" w:hAnsi="Times New Roman"/>
          <w:sz w:val="14"/>
          <w:szCs w:val="14"/>
          <w:color w:val="auto"/>
        </w:rPr>
        <w:t>of the Betters Directors, the Sponsor</w:t>
      </w:r>
    </w:p>
    <w:p>
      <w:pPr>
        <w:ind w:left="2760"/>
        <w:spacing w:after="0" w:line="231" w:lineRule="auto"/>
        <w:rPr>
          <w:sz w:val="20"/>
          <w:szCs w:val="20"/>
          <w:color w:val="auto"/>
        </w:rPr>
      </w:pPr>
      <w:r>
        <w:rPr>
          <w:rFonts w:ascii="Times New Roman" w:cs="Times New Roman" w:eastAsia="Times New Roman" w:hAnsi="Times New Roman"/>
          <w:sz w:val="14"/>
          <w:szCs w:val="14"/>
          <w:color w:val="auto"/>
        </w:rPr>
        <w:t>and/or Betters Medical (or its affiliates)</w:t>
      </w:r>
    </w:p>
    <w:p>
      <w:pPr>
        <w:ind w:left="2760"/>
        <w:spacing w:after="0" w:line="232" w:lineRule="auto"/>
        <w:tabs>
          <w:tab w:leader="none" w:pos="3140" w:val="left"/>
          <w:tab w:leader="none" w:pos="3600" w:val="left"/>
          <w:tab w:leader="none" w:pos="3860" w:val="left"/>
          <w:tab w:leader="none" w:pos="4420" w:val="left"/>
          <w:tab w:leader="none" w:pos="4660" w:val="left"/>
        </w:tabs>
        <w:rPr>
          <w:sz w:val="20"/>
          <w:szCs w:val="20"/>
          <w:color w:val="auto"/>
        </w:rPr>
      </w:pPr>
      <w:r>
        <w:rPr>
          <w:rFonts w:ascii="Times New Roman" w:cs="Times New Roman" w:eastAsia="Times New Roman" w:hAnsi="Times New Roman"/>
          <w:sz w:val="14"/>
          <w:szCs w:val="14"/>
          <w:color w:val="auto"/>
        </w:rPr>
        <w:t>shall</w:t>
        <w:tab/>
        <w:t>solely</w:t>
        <w:tab/>
        <w:t>be</w:t>
        <w:tab/>
        <w:t>entitled</w:t>
        <w:tab/>
        <w:t>to</w:t>
        <w:tab/>
        <w:t>appoint</w:t>
      </w:r>
    </w:p>
    <w:p>
      <w:pPr>
        <w:ind w:left="2760"/>
        <w:spacing w:after="0" w:line="231" w:lineRule="auto"/>
        <w:rPr>
          <w:sz w:val="20"/>
          <w:szCs w:val="20"/>
          <w:color w:val="auto"/>
        </w:rPr>
      </w:pPr>
      <w:r>
        <w:rPr>
          <w:rFonts w:ascii="Times New Roman" w:cs="Times New Roman" w:eastAsia="Times New Roman" w:hAnsi="Times New Roman"/>
          <w:sz w:val="14"/>
          <w:szCs w:val="14"/>
          <w:color w:val="auto"/>
        </w:rPr>
        <w:t>another person as the Sponsor Director</w:t>
      </w:r>
    </w:p>
    <w:p>
      <w:pPr>
        <w:ind w:left="2760"/>
        <w:spacing w:after="0"/>
        <w:tabs>
          <w:tab w:leader="none" w:pos="2980" w:val="left"/>
          <w:tab w:leader="none" w:pos="3280" w:val="left"/>
          <w:tab w:leader="none" w:pos="3800" w:val="left"/>
          <w:tab w:leader="none" w:pos="4440" w:val="left"/>
          <w:tab w:leader="none" w:pos="4920" w:val="left"/>
        </w:tabs>
        <w:rPr>
          <w:sz w:val="20"/>
          <w:szCs w:val="20"/>
          <w:color w:val="auto"/>
        </w:rPr>
      </w:pPr>
      <w:r>
        <w:rPr>
          <w:rFonts w:ascii="Times New Roman" w:cs="Times New Roman" w:eastAsia="Times New Roman" w:hAnsi="Times New Roman"/>
          <w:sz w:val="14"/>
          <w:szCs w:val="14"/>
          <w:color w:val="auto"/>
        </w:rPr>
        <w:t>or</w:t>
        <w:tab/>
        <w:t>the</w:t>
        <w:tab/>
        <w:t>Betters</w:t>
        <w:tab/>
        <w:t>Director.</w:t>
        <w:tab/>
        <w:t>Under</w:t>
      </w:r>
      <w:r>
        <w:rPr>
          <w:sz w:val="20"/>
          <w:szCs w:val="20"/>
          <w:color w:val="auto"/>
        </w:rPr>
        <w:tab/>
      </w:r>
      <w:r>
        <w:rPr>
          <w:rFonts w:ascii="Times New Roman" w:cs="Times New Roman" w:eastAsia="Times New Roman" w:hAnsi="Times New Roman"/>
          <w:sz w:val="13"/>
          <w:szCs w:val="13"/>
          <w:color w:val="auto"/>
        </w:rPr>
        <w:t>the</w:t>
      </w:r>
    </w:p>
    <w:p>
      <w:pPr>
        <w:ind w:left="2760"/>
        <w:spacing w:after="0" w:line="231" w:lineRule="auto"/>
        <w:rPr>
          <w:sz w:val="20"/>
          <w:szCs w:val="20"/>
          <w:color w:val="auto"/>
        </w:rPr>
      </w:pPr>
      <w:r>
        <w:rPr>
          <w:rFonts w:ascii="Times New Roman" w:cs="Times New Roman" w:eastAsia="Times New Roman" w:hAnsi="Times New Roman"/>
          <w:sz w:val="14"/>
          <w:szCs w:val="14"/>
          <w:color w:val="auto"/>
        </w:rPr>
        <w:t>Articles,  a  director’s  office  shall  be</w:t>
      </w:r>
    </w:p>
    <w:p>
      <w:pPr>
        <w:ind w:left="2760"/>
        <w:spacing w:after="0"/>
        <w:tabs>
          <w:tab w:leader="none" w:pos="3280" w:val="left"/>
          <w:tab w:leader="none" w:pos="3480" w:val="left"/>
          <w:tab w:leader="none" w:pos="3780" w:val="left"/>
          <w:tab w:leader="none" w:pos="4340" w:val="left"/>
          <w:tab w:leader="none" w:pos="4600" w:val="left"/>
        </w:tabs>
        <w:rPr>
          <w:sz w:val="20"/>
          <w:szCs w:val="20"/>
          <w:color w:val="auto"/>
        </w:rPr>
      </w:pPr>
      <w:r>
        <w:rPr>
          <w:rFonts w:ascii="Times New Roman" w:cs="Times New Roman" w:eastAsia="Times New Roman" w:hAnsi="Times New Roman"/>
          <w:sz w:val="14"/>
          <w:szCs w:val="14"/>
          <w:color w:val="auto"/>
        </w:rPr>
        <w:t>vacated</w:t>
        <w:tab/>
        <w:t>if</w:t>
        <w:tab/>
        <w:t>the</w:t>
        <w:tab/>
        <w:t>director</w:t>
        <w:tab/>
        <w:t>(i)</w:t>
      </w:r>
      <w:r>
        <w:rPr>
          <w:sz w:val="20"/>
          <w:szCs w:val="20"/>
          <w:color w:val="auto"/>
        </w:rPr>
        <w:tab/>
      </w:r>
      <w:r>
        <w:rPr>
          <w:rFonts w:ascii="Times New Roman" w:cs="Times New Roman" w:eastAsia="Times New Roman" w:hAnsi="Times New Roman"/>
          <w:sz w:val="13"/>
          <w:szCs w:val="13"/>
          <w:color w:val="auto"/>
        </w:rPr>
        <w:t>becomes</w:t>
      </w:r>
    </w:p>
    <w:p>
      <w:pPr>
        <w:ind w:left="2760"/>
        <w:spacing w:after="0" w:line="231" w:lineRule="auto"/>
        <w:rPr>
          <w:sz w:val="20"/>
          <w:szCs w:val="20"/>
          <w:color w:val="auto"/>
        </w:rPr>
      </w:pPr>
      <w:r>
        <w:rPr>
          <w:rFonts w:ascii="Times New Roman" w:cs="Times New Roman" w:eastAsia="Times New Roman" w:hAnsi="Times New Roman"/>
          <w:sz w:val="14"/>
          <w:szCs w:val="14"/>
          <w:color w:val="auto"/>
        </w:rPr>
        <w:t>bankrupt or has a receiving order made</w:t>
      </w:r>
    </w:p>
    <w:p>
      <w:pPr>
        <w:ind w:left="2760"/>
        <w:spacing w:after="0" w:line="231" w:lineRule="auto"/>
        <w:rPr>
          <w:sz w:val="20"/>
          <w:szCs w:val="20"/>
          <w:color w:val="auto"/>
        </w:rPr>
      </w:pPr>
      <w:r>
        <w:rPr>
          <w:rFonts w:ascii="Times New Roman" w:cs="Times New Roman" w:eastAsia="Times New Roman" w:hAnsi="Times New Roman"/>
          <w:sz w:val="14"/>
          <w:szCs w:val="14"/>
          <w:color w:val="auto"/>
        </w:rPr>
        <w:t>against  him  or  suspends  payment  or</w:t>
      </w:r>
    </w:p>
    <w:p>
      <w:pPr>
        <w:ind w:left="2760"/>
        <w:spacing w:after="0"/>
        <w:rPr>
          <w:sz w:val="20"/>
          <w:szCs w:val="20"/>
          <w:color w:val="auto"/>
        </w:rPr>
      </w:pPr>
      <w:r>
        <w:rPr>
          <w:rFonts w:ascii="Times New Roman" w:cs="Times New Roman" w:eastAsia="Times New Roman" w:hAnsi="Times New Roman"/>
          <w:sz w:val="14"/>
          <w:szCs w:val="14"/>
          <w:color w:val="auto"/>
        </w:rPr>
        <w:t>compounds  with  his  creditors;  (ii)  is</w:t>
      </w:r>
    </w:p>
    <w:p>
      <w:pPr>
        <w:ind w:left="2760"/>
        <w:spacing w:after="0" w:line="237" w:lineRule="auto"/>
        <w:rPr>
          <w:sz w:val="20"/>
          <w:szCs w:val="20"/>
          <w:color w:val="auto"/>
        </w:rPr>
      </w:pPr>
      <w:r>
        <w:rPr>
          <w:rFonts w:ascii="Times New Roman" w:cs="Times New Roman" w:eastAsia="Times New Roman" w:hAnsi="Times New Roman"/>
          <w:sz w:val="14"/>
          <w:szCs w:val="14"/>
          <w:color w:val="auto"/>
        </w:rPr>
        <w:t>found  to  be  or  becomes  of  unsound</w:t>
      </w:r>
    </w:p>
    <w:p>
      <w:pPr>
        <w:ind w:left="2760"/>
        <w:spacing w:after="0" w:line="232" w:lineRule="auto"/>
        <w:rPr>
          <w:sz w:val="20"/>
          <w:szCs w:val="20"/>
          <w:color w:val="auto"/>
        </w:rPr>
      </w:pPr>
      <w:r>
        <w:rPr>
          <w:rFonts w:ascii="Times New Roman" w:cs="Times New Roman" w:eastAsia="Times New Roman" w:hAnsi="Times New Roman"/>
          <w:sz w:val="14"/>
          <w:szCs w:val="14"/>
          <w:color w:val="auto"/>
        </w:rPr>
        <w:t>mind or dies; (iii) resigns his office by</w:t>
      </w:r>
    </w:p>
    <w:p>
      <w:pPr>
        <w:ind w:left="2760"/>
        <w:spacing w:after="0" w:line="231" w:lineRule="auto"/>
        <w:tabs>
          <w:tab w:leader="none" w:pos="3200" w:val="left"/>
          <w:tab w:leader="none" w:pos="3440" w:val="left"/>
          <w:tab w:leader="none" w:pos="3980" w:val="left"/>
          <w:tab w:leader="none" w:pos="4220" w:val="left"/>
          <w:tab w:leader="none" w:pos="4520" w:val="left"/>
        </w:tabs>
        <w:rPr>
          <w:sz w:val="20"/>
          <w:szCs w:val="20"/>
          <w:color w:val="auto"/>
        </w:rPr>
      </w:pPr>
      <w:r>
        <w:rPr>
          <w:rFonts w:ascii="Times New Roman" w:cs="Times New Roman" w:eastAsia="Times New Roman" w:hAnsi="Times New Roman"/>
          <w:sz w:val="14"/>
          <w:szCs w:val="14"/>
          <w:color w:val="auto"/>
        </w:rPr>
        <w:t>notice</w:t>
        <w:tab/>
        <w:t>in</w:t>
        <w:tab/>
        <w:t>writing</w:t>
        <w:tab/>
        <w:t>to</w:t>
        <w:tab/>
        <w:t>our</w:t>
        <w:tab/>
        <w:t>company;</w:t>
      </w:r>
    </w:p>
    <w:p>
      <w:pPr>
        <w:jc w:val="both"/>
        <w:ind w:left="2760" w:right="20" w:hanging="4"/>
        <w:spacing w:after="0" w:line="231" w:lineRule="auto"/>
        <w:tabs>
          <w:tab w:leader="none" w:pos="302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p>
      <w:pPr>
        <w:spacing w:after="0" w:line="20" w:lineRule="exact"/>
        <w:rPr>
          <w:sz w:val="20"/>
          <w:szCs w:val="20"/>
          <w:color w:val="auto"/>
        </w:rPr>
      </w:pPr>
      <w:r>
        <w:rPr>
          <w:sz w:val="20"/>
          <w:szCs w:val="20"/>
          <w:color w:val="auto"/>
        </w:rPr>
        <w:br w:type="column"/>
      </w:r>
    </w:p>
    <w:p>
      <w:pPr>
        <w:jc w:val="both"/>
        <w:ind w:right="1379"/>
        <w:spacing w:after="0" w:line="234" w:lineRule="auto"/>
        <w:rPr>
          <w:sz w:val="20"/>
          <w:szCs w:val="20"/>
          <w:color w:val="auto"/>
        </w:rPr>
      </w:pPr>
      <w:r>
        <w:rPr>
          <w:rFonts w:ascii="Times New Roman" w:cs="Times New Roman" w:eastAsia="Times New Roman" w:hAnsi="Times New Roman"/>
          <w:sz w:val="14"/>
          <w:szCs w:val="14"/>
          <w:color w:val="auto"/>
        </w:rPr>
        <w:t>be removed only for cause with the approval of a majority of the issued and outstanding shares entitled to vote, unless the certificate of incorporation provides otherwise.</w:t>
      </w:r>
    </w:p>
    <w:p>
      <w:pPr>
        <w:spacing w:after="0" w:line="6372" w:lineRule="exact"/>
        <w:rPr>
          <w:sz w:val="20"/>
          <w:szCs w:val="20"/>
          <w:color w:val="auto"/>
        </w:rPr>
      </w:pPr>
    </w:p>
    <w:p>
      <w:pPr>
        <w:sectPr>
          <w:pgSz w:w="11900" w:h="16838" w:orient="portrait"/>
          <w:cols w:equalWidth="0" w:num="2">
            <w:col w:w="5120" w:space="160"/>
            <w:col w:w="3739"/>
          </w:cols>
          <w:pgMar w:left="1440" w:top="108"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Transactions with</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Interested</w:t>
      </w: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Shareholders</w:t>
      </w:r>
    </w:p>
    <w:p>
      <w:pPr>
        <w:spacing w:after="0" w:line="20" w:lineRule="exact"/>
        <w:rPr>
          <w:sz w:val="20"/>
          <w:szCs w:val="20"/>
          <w:color w:val="auto"/>
        </w:rPr>
      </w:pPr>
      <w:r>
        <w:rPr>
          <w:sz w:val="20"/>
          <w:szCs w:val="20"/>
          <w:color w:val="auto"/>
        </w:rPr>
        <w:br w:type="column"/>
      </w:r>
    </w:p>
    <w:p>
      <w:pPr>
        <w:jc w:val="right"/>
        <w:ind w:right="1339"/>
        <w:spacing w:after="0" w:line="246" w:lineRule="auto"/>
        <w:rPr>
          <w:sz w:val="20"/>
          <w:szCs w:val="20"/>
          <w:color w:val="auto"/>
        </w:rPr>
      </w:pPr>
      <w:r>
        <w:rPr>
          <w:rFonts w:ascii="Times New Roman" w:cs="Times New Roman" w:eastAsia="Times New Roman" w:hAnsi="Times New Roman"/>
          <w:sz w:val="14"/>
          <w:szCs w:val="14"/>
          <w:color w:val="auto"/>
        </w:rPr>
        <w:t>​ ​ Cayman Islands law has no comparable​ ​ The Delaware General Corporation Law​ statute. As a result, we cannot avail   contains a business combination statute ourselves  of  the  types  of  protections   applicable  to  Delaware  corporations</w:t>
      </w:r>
    </w:p>
    <w:p>
      <w:pPr>
        <w:spacing w:after="0" w:line="1" w:lineRule="exact"/>
        <w:rPr>
          <w:sz w:val="20"/>
          <w:szCs w:val="20"/>
          <w:color w:val="auto"/>
        </w:rPr>
      </w:pPr>
    </w:p>
    <w:p>
      <w:pPr>
        <w:ind w:left="160" w:right="1379"/>
        <w:spacing w:after="0"/>
        <w:rPr>
          <w:sz w:val="20"/>
          <w:szCs w:val="20"/>
          <w:color w:val="auto"/>
        </w:rPr>
      </w:pPr>
      <w:r>
        <w:rPr>
          <w:rFonts w:ascii="Times New Roman" w:cs="Times New Roman" w:eastAsia="Times New Roman" w:hAnsi="Times New Roman"/>
          <w:sz w:val="14"/>
          <w:szCs w:val="14"/>
          <w:color w:val="auto"/>
        </w:rPr>
        <w:t>afforded by the Delaware business whereby, unless the corporation has combination statute. However, although specifically elected not to be governed Cayman Islands law does not regulate by such statute by amendment to its transactions between a company and its certificate of incorporation, it is significant shareholders, the directors of prohibited from engaging in certain our company are required to comply business combinations with an with</w:t>
      </w:r>
    </w:p>
    <w:p>
      <w:pPr>
        <w:spacing w:after="0" w:line="200" w:lineRule="exact"/>
        <w:rPr>
          <w:sz w:val="20"/>
          <w:szCs w:val="20"/>
          <w:color w:val="auto"/>
        </w:rPr>
      </w:pPr>
    </w:p>
    <w:p>
      <w:pPr>
        <w:spacing w:after="0" w:line="2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188595</wp:posOffset>
            </wp:positionV>
            <wp:extent cx="52330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2">
            <w:col w:w="2340" w:space="260"/>
            <w:col w:w="6419"/>
          </w:cols>
          <w:pgMar w:left="1440" w:top="108" w:right="1440" w:bottom="1440" w:gutter="0" w:footer="0" w:header="0"/>
          <w:type w:val="continuous"/>
        </w:sectPr>
      </w:pPr>
    </w:p>
    <w:bookmarkStart w:id="37" w:name="page38"/>
    <w:bookmarkEnd w:id="37"/>
    <w:p>
      <w:pPr>
        <w:ind w:left="4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Dissolution; Winding</w:t>
      </w:r>
    </w:p>
    <w:p>
      <w:pPr>
        <w:spacing w:after="0" w:line="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Variation of Rights of</w:t>
      </w:r>
    </w:p>
    <w:p>
      <w:pPr>
        <w:spacing w:after="0" w:line="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Amendment of</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Governing</w:t>
      </w: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0" w:type="dxa"/>
            <w:vAlign w:val="bottom"/>
          </w:tcPr>
          <w:p>
            <w:pPr>
              <w:spacing w:after="0"/>
              <w:rPr>
                <w:sz w:val="13"/>
                <w:szCs w:val="13"/>
                <w:color w:val="auto"/>
              </w:rPr>
            </w:pPr>
          </w:p>
        </w:tc>
        <w:tc>
          <w:tcPr>
            <w:tcW w:w="1400" w:type="dxa"/>
            <w:vAlign w:val="bottom"/>
            <w:gridSpan w:val="2"/>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Cayman Islands</w:t>
            </w:r>
          </w:p>
        </w:tc>
        <w:tc>
          <w:tcPr>
            <w:tcW w:w="2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3"/>
        </w:trPr>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2360" w:type="dxa"/>
            <w:vAlign w:val="bottom"/>
            <w:tcBorders>
              <w:top w:val="single" w:sz="8" w:color="auto"/>
            </w:tcBorders>
            <w:gridSpan w:val="5"/>
          </w:tcPr>
          <w:p>
            <w:pPr>
              <w:spacing w:after="0" w:line="153" w:lineRule="exact"/>
              <w:rPr>
                <w:sz w:val="20"/>
                <w:szCs w:val="20"/>
                <w:color w:val="auto"/>
              </w:rPr>
            </w:pPr>
            <w:r>
              <w:rPr>
                <w:rFonts w:ascii="Times New Roman" w:cs="Times New Roman" w:eastAsia="Times New Roman" w:hAnsi="Times New Roman"/>
                <w:sz w:val="14"/>
                <w:szCs w:val="14"/>
                <w:color w:val="auto"/>
              </w:rPr>
              <w:t>fiduciary duties which they owe to our</w:t>
            </w: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2360" w:type="dxa"/>
            <w:vAlign w:val="bottom"/>
            <w:tcBorders>
              <w:top w:val="single" w:sz="8" w:color="auto"/>
            </w:tcBorders>
            <w:gridSpan w:val="7"/>
          </w:tcPr>
          <w:p>
            <w:pPr>
              <w:spacing w:after="0" w:line="153" w:lineRule="exact"/>
              <w:rPr>
                <w:sz w:val="20"/>
                <w:szCs w:val="20"/>
                <w:color w:val="auto"/>
              </w:rPr>
            </w:pPr>
            <w:r>
              <w:rPr>
                <w:rFonts w:ascii="Times New Roman" w:cs="Times New Roman" w:eastAsia="Times New Roman" w:hAnsi="Times New Roman"/>
                <w:sz w:val="14"/>
                <w:szCs w:val="14"/>
                <w:color w:val="auto"/>
              </w:rPr>
              <w:t>“interested shareholder” for three years</w:t>
            </w:r>
          </w:p>
        </w:tc>
        <w:tc>
          <w:tcPr>
            <w:tcW w:w="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company under Cayman Islands laws,</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following  the  date  that  such  person</w:t>
            </w:r>
          </w:p>
        </w:tc>
      </w:tr>
      <w:tr>
        <w:trPr>
          <w:trHeight w:val="165"/>
        </w:trPr>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including the duty to ensure that, in</w:t>
            </w:r>
          </w:p>
        </w:tc>
        <w:tc>
          <w:tcPr>
            <w:tcW w:w="24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becomes an interested shareholder. An</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their  opinion,  any  such  transactions</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interested  shareholder  generally  is  a</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must be entered into bona fide in the</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person or a group who or which owns or</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best interests of the company and not</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owned  15%  or  more  of  the  target’s</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with the effect of constituting a fraud on</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outstanding  voting  shares  within  the</w:t>
            </w:r>
          </w:p>
        </w:tc>
      </w:tr>
      <w:tr>
        <w:trPr>
          <w:trHeight w:val="155"/>
        </w:trPr>
        <w:tc>
          <w:tcPr>
            <w:tcW w:w="168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minority shareholders.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past three years. This has the effect of</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limiting  the  ability  of  a  potential</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acquirer to make a two-tiered bid for the</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target in which all shareholders would</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not be treated equally. The statute does</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not apply if, among other things, prior</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to the date on which such shareholder</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becomes an interested shareholder, the</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board of directors approves either the</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business combination or the transaction</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which resulted in the person becoming</w:t>
            </w:r>
          </w:p>
        </w:tc>
      </w:tr>
      <w:tr>
        <w:trPr>
          <w:trHeight w:val="165"/>
        </w:trPr>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an</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interested</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This</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encourages any potential acquirer of a</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Delaware corporation to negotiate the</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terms  of  any  acquisition  transaction</w:t>
            </w:r>
          </w:p>
        </w:tc>
      </w:tr>
      <w:tr>
        <w:trPr>
          <w:trHeight w:val="145"/>
        </w:trPr>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6"/>
          </w:tcPr>
          <w:p>
            <w:pPr>
              <w:spacing w:after="0" w:line="145" w:lineRule="exact"/>
              <w:rPr>
                <w:sz w:val="20"/>
                <w:szCs w:val="20"/>
                <w:color w:val="auto"/>
              </w:rPr>
            </w:pPr>
            <w:r>
              <w:rPr>
                <w:rFonts w:ascii="Times New Roman" w:cs="Times New Roman" w:eastAsia="Times New Roman" w:hAnsi="Times New Roman"/>
                <w:sz w:val="14"/>
                <w:szCs w:val="14"/>
                <w:color w:val="auto"/>
              </w:rPr>
              <w:t>with the target’s board of directors.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6"/>
        </w:trPr>
        <w:tc>
          <w:tcPr>
            <w:tcW w:w="30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 ​ Under Cayman Islands law, a company​ ​ Under</w:t>
            </w: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Delaware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General​</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may be wound up by either an order of</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Corporation Law, unless the board of</w:t>
            </w:r>
          </w:p>
        </w:tc>
      </w:tr>
      <w:tr>
        <w:trPr>
          <w:trHeight w:val="165"/>
        </w:trPr>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the courts of the Cayman Islands or by a</w:t>
            </w:r>
          </w:p>
        </w:tc>
        <w:tc>
          <w:tcPr>
            <w:tcW w:w="24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directors  approves  the  proposal  to</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special resolution of its members or, if</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dissolve, dissolution must be approved</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company is unable to pay its debts</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by shareholders holding 100% of the</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as  they  fall  due,  by  an  ordinary</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total voting power of the corporation.</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resolution of its members. The court has</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Only if the dissolution is initiated by the</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authority  to  order  winding  up  in  a</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board of directors may it be approved by</w:t>
            </w:r>
          </w:p>
        </w:tc>
      </w:tr>
      <w:tr>
        <w:trPr>
          <w:trHeight w:val="155"/>
        </w:trPr>
        <w:tc>
          <w:tcPr>
            <w:tcW w:w="60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w w:val="98"/>
              </w:rPr>
              <w:t>number</w:t>
            </w:r>
          </w:p>
        </w:tc>
        <w:tc>
          <w:tcPr>
            <w:tcW w:w="3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78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specified</w:t>
            </w:r>
          </w:p>
        </w:tc>
        <w:tc>
          <w:tcPr>
            <w:tcW w:w="10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circumstances</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a simple majority of the corporation’s</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including where it is, in the opinion of</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outstanding shares. Delaware law allows</w:t>
            </w:r>
          </w:p>
        </w:tc>
      </w:tr>
      <w:tr>
        <w:trPr>
          <w:trHeight w:val="155"/>
        </w:trPr>
        <w:tc>
          <w:tcPr>
            <w:tcW w:w="2300" w:type="dxa"/>
            <w:vAlign w:val="bottom"/>
            <w:gridSpan w:val="5"/>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court, just and equitable to do so.</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a Delaware corporation to include in its</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certificate</w:t>
            </w:r>
          </w:p>
        </w:tc>
        <w:tc>
          <w:tcPr>
            <w:tcW w:w="3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of</w:t>
            </w:r>
          </w:p>
        </w:tc>
        <w:tc>
          <w:tcPr>
            <w:tcW w:w="10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incorporation</w:t>
            </w:r>
          </w:p>
        </w:tc>
        <w:tc>
          <w:tcPr>
            <w:tcW w:w="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a</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supermajority</w:t>
            </w:r>
          </w:p>
        </w:tc>
        <w:tc>
          <w:tcPr>
            <w:tcW w:w="5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voting</w:t>
            </w:r>
          </w:p>
        </w:tc>
        <w:tc>
          <w:tcPr>
            <w:tcW w:w="7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requirement</w:t>
            </w:r>
          </w:p>
        </w:tc>
        <w:tc>
          <w:tcPr>
            <w:tcW w:w="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in</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connection with dissolutions initiated by</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either  an  order  of  the  courts  of  the</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Cayman  Islands  or  by  the  board  of</w:t>
            </w:r>
          </w:p>
        </w:tc>
      </w:tr>
      <w:tr>
        <w:trPr>
          <w:trHeight w:val="155"/>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directors.</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30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 ​ Under the Articles, if our share capital​ ​ Under</w:t>
            </w: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Delaware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General​</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is divided into more than one class of</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Corporation  Law,  a  corporation  may</w:t>
            </w:r>
          </w:p>
        </w:tc>
      </w:tr>
      <w:tr>
        <w:trPr>
          <w:trHeight w:val="165"/>
        </w:trPr>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shares, the rights attached to any such</w:t>
            </w:r>
          </w:p>
        </w:tc>
        <w:tc>
          <w:tcPr>
            <w:tcW w:w="24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vary the rights of a class of shares with</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class  may  only  be  varied  with  the</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the  approval  of  a  majority  of  the</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sanction of a resolution passed by a</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outstanding shares of such class, unless</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majority of two- thirds of the votes cast</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the certificate of incorporation provides</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at a separate meeting of the holders of</w:t>
            </w: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otherwise.</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68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shares of that class.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Under</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w:t>
            </w: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Companies</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Act  and</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our​ ​ Under</w:t>
            </w: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Delaware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General​</w:t>
            </w:r>
          </w:p>
        </w:tc>
      </w:tr>
      <w:tr>
        <w:trPr>
          <w:trHeight w:val="155"/>
        </w:trPr>
        <w:tc>
          <w:tcPr>
            <w:tcW w:w="168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4"/>
                <w:szCs w:val="14"/>
                <w:color w:val="auto"/>
              </w:rPr>
              <w:t>Amended  and  Restated</w:t>
            </w:r>
          </w:p>
        </w:tc>
        <w:tc>
          <w:tcPr>
            <w:tcW w:w="10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Memorandum</w:t>
            </w: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Corporation</w:t>
            </w:r>
          </w:p>
        </w:tc>
        <w:tc>
          <w:tcPr>
            <w:tcW w:w="3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w w:val="91"/>
              </w:rPr>
              <w:t>Law,</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a</w:t>
            </w:r>
          </w:p>
        </w:tc>
        <w:tc>
          <w:tcPr>
            <w:tcW w:w="10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corporation’s</w:t>
            </w:r>
          </w:p>
        </w:tc>
      </w:tr>
      <w:tr>
        <w:trPr>
          <w:trHeight w:val="165"/>
        </w:trPr>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and   Articles   of   Association,   our</w:t>
            </w:r>
          </w:p>
        </w:tc>
        <w:tc>
          <w:tcPr>
            <w:tcW w:w="24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governing documents may be amended</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memorandum and articles of association</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with the approval of a majority of the</w:t>
            </w:r>
          </w:p>
        </w:tc>
      </w:tr>
      <w:tr>
        <w:trPr>
          <w:trHeight w:val="155"/>
        </w:trPr>
        <w:tc>
          <w:tcPr>
            <w:tcW w:w="26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color w:val="auto"/>
              </w:rPr>
              <w:t>may  only  be  amended  by  a  special</w:t>
            </w: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outstanding  shares  entitled  to  vote,</w:t>
            </w:r>
          </w:p>
        </w:tc>
      </w:tr>
      <w:tr>
        <w:trPr>
          <w:trHeight w:val="155"/>
        </w:trPr>
        <w:tc>
          <w:tcPr>
            <w:tcW w:w="2300" w:type="dxa"/>
            <w:vAlign w:val="bottom"/>
            <w:gridSpan w:val="5"/>
          </w:tcPr>
          <w:p>
            <w:pPr>
              <w:ind w:left="160"/>
              <w:spacing w:after="0" w:line="155" w:lineRule="exact"/>
              <w:rPr>
                <w:sz w:val="20"/>
                <w:szCs w:val="20"/>
                <w:color w:val="auto"/>
              </w:rPr>
            </w:pPr>
            <w:r>
              <w:rPr>
                <w:rFonts w:ascii="Times New Roman" w:cs="Times New Roman" w:eastAsia="Times New Roman" w:hAnsi="Times New Roman"/>
                <w:sz w:val="14"/>
                <w:szCs w:val="14"/>
                <w:color w:val="auto"/>
              </w:rPr>
              <w:t>resolution of our shareholders.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unless the certificate of incorporation</w:t>
            </w:r>
          </w:p>
        </w:tc>
      </w:tr>
      <w:tr>
        <w:trPr>
          <w:trHeight w:val="179"/>
        </w:trPr>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provides otherwise.</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55"/>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177165</wp:posOffset>
            </wp:positionV>
            <wp:extent cx="52330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2">
            <w:col w:w="2540" w:space="60"/>
            <w:col w:w="6419"/>
          </w:cols>
          <w:pgMar w:left="1440" w:top="108" w:right="1440" w:bottom="1440" w:gutter="0" w:footer="0" w:header="0"/>
          <w:type w:val="continuous"/>
        </w:sectPr>
      </w:pPr>
    </w:p>
    <w:bookmarkStart w:id="38" w:name="page39"/>
    <w:bookmarkEnd w:id="3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00" w:lineRule="exact"/>
        <w:rPr>
          <w:sz w:val="20"/>
          <w:szCs w:val="20"/>
          <w:color w:val="auto"/>
        </w:rPr>
      </w:pPr>
    </w:p>
    <w:p>
      <w:pPr>
        <w:jc w:val="both"/>
        <w:ind w:left="1360"/>
        <w:spacing w:after="0"/>
        <w:tabs>
          <w:tab w:leader="none" w:pos="1960" w:val="left"/>
          <w:tab w:leader="none" w:pos="2620" w:val="left"/>
          <w:tab w:leader="none" w:pos="3540" w:val="left"/>
          <w:tab w:leader="none" w:pos="5140" w:val="left"/>
          <w:tab w:leader="none" w:pos="6220" w:val="left"/>
          <w:tab w:leader="none" w:pos="762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Cayman Islands</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ectPr>
          <w:pgSz w:w="11900" w:h="16838" w:orient="portrait"/>
          <w:cols w:equalWidth="0" w:num="1">
            <w:col w:w="9019"/>
          </w:cols>
          <w:pgMar w:left="1440" w:top="104" w:right="1440" w:bottom="1440" w:gutter="0" w:footer="0" w:header="0"/>
        </w:sectPr>
      </w:pPr>
    </w:p>
    <w:p>
      <w:pPr>
        <w:spacing w:after="0" w:line="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Rights of Non-</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resident or Foreign</w:t>
      </w: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Shareholders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378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auto"/>
              </w:rPr>
              <w:t>​ ​ There are no limitations imposed by our​ ​ Under  Delaware</w:t>
            </w:r>
          </w:p>
        </w:tc>
        <w:tc>
          <w:tcPr>
            <w:tcW w:w="13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General  Corporation​</w:t>
            </w:r>
          </w:p>
        </w:tc>
      </w:tr>
      <w:tr>
        <w:trPr>
          <w:trHeight w:val="155"/>
        </w:trPr>
        <w:tc>
          <w:tcPr>
            <w:tcW w:w="2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Amended  and  Restated  Memorandum</w:t>
            </w:r>
          </w:p>
        </w:tc>
        <w:tc>
          <w:tcPr>
            <w:tcW w:w="24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Law, there are no restrictions on foreign</w:t>
            </w:r>
          </w:p>
        </w:tc>
      </w:tr>
      <w:tr>
        <w:trPr>
          <w:trHeight w:val="179"/>
        </w:trPr>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and Articles of Association on the rights</w:t>
            </w:r>
          </w:p>
        </w:tc>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and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all  the  stock  or</w:t>
            </w:r>
          </w:p>
        </w:tc>
      </w:tr>
    </w:tbl>
    <w:p>
      <w:pPr>
        <w:spacing w:after="0" w:line="1" w:lineRule="exact"/>
        <w:rPr>
          <w:sz w:val="20"/>
          <w:szCs w:val="20"/>
          <w:color w:val="auto"/>
        </w:rPr>
      </w:pPr>
    </w:p>
    <w:p>
      <w:pPr>
        <w:sectPr>
          <w:pgSz w:w="11900" w:h="16838" w:orient="portrait"/>
          <w:cols w:equalWidth="0" w:num="2">
            <w:col w:w="2560" w:space="40"/>
            <w:col w:w="6419"/>
          </w:cols>
          <w:pgMar w:left="1440" w:top="104" w:right="1440" w:bottom="1440" w:gutter="0" w:footer="0" w:header="0"/>
          <w:type w:val="continuous"/>
        </w:sectPr>
      </w:pPr>
    </w:p>
    <w:p>
      <w:pPr>
        <w:ind w:left="2760"/>
        <w:spacing w:after="0" w:line="232" w:lineRule="auto"/>
        <w:rPr>
          <w:sz w:val="20"/>
          <w:szCs w:val="20"/>
          <w:color w:val="auto"/>
        </w:rPr>
      </w:pPr>
      <w:r>
        <w:rPr>
          <w:rFonts w:ascii="Times New Roman" w:cs="Times New Roman" w:eastAsia="Times New Roman" w:hAnsi="Times New Roman"/>
          <w:sz w:val="14"/>
          <w:szCs w:val="14"/>
          <w:color w:val="auto"/>
        </w:rPr>
        <w:t>of non-resident or foreign shareholders</w:t>
      </w:r>
    </w:p>
    <w:p>
      <w:pPr>
        <w:ind w:left="2760"/>
        <w:spacing w:after="0" w:line="231" w:lineRule="auto"/>
        <w:rPr>
          <w:sz w:val="20"/>
          <w:szCs w:val="20"/>
          <w:color w:val="auto"/>
        </w:rPr>
      </w:pPr>
      <w:r>
        <w:rPr>
          <w:rFonts w:ascii="Times New Roman" w:cs="Times New Roman" w:eastAsia="Times New Roman" w:hAnsi="Times New Roman"/>
          <w:sz w:val="14"/>
          <w:szCs w:val="14"/>
          <w:color w:val="auto"/>
        </w:rPr>
        <w:t>to hold or exercise voting rights on our</w:t>
      </w:r>
    </w:p>
    <w:p>
      <w:pPr>
        <w:ind w:left="2760"/>
        <w:spacing w:after="0" w:line="231" w:lineRule="auto"/>
        <w:tabs>
          <w:tab w:leader="none" w:pos="3280" w:val="left"/>
          <w:tab w:leader="none" w:pos="3540" w:val="left"/>
          <w:tab w:leader="none" w:pos="4200" w:val="left"/>
          <w:tab w:leader="none" w:pos="4620" w:val="left"/>
          <w:tab w:leader="none" w:pos="4940" w:val="left"/>
        </w:tabs>
        <w:rPr>
          <w:sz w:val="20"/>
          <w:szCs w:val="20"/>
          <w:color w:val="auto"/>
        </w:rPr>
      </w:pPr>
      <w:r>
        <w:rPr>
          <w:rFonts w:ascii="Times New Roman" w:cs="Times New Roman" w:eastAsia="Times New Roman" w:hAnsi="Times New Roman"/>
          <w:sz w:val="14"/>
          <w:szCs w:val="14"/>
          <w:color w:val="auto"/>
        </w:rPr>
        <w:t>shares.</w:t>
        <w:tab/>
        <w:t>In</w:t>
        <w:tab/>
        <w:t>addition,</w:t>
        <w:tab/>
        <w:t>there</w:t>
        <w:tab/>
        <w:t>are</w:t>
        <w:tab/>
        <w:t>no</w:t>
      </w:r>
    </w:p>
    <w:p>
      <w:pPr>
        <w:ind w:left="2760"/>
        <w:spacing w:after="0" w:line="231" w:lineRule="auto"/>
        <w:rPr>
          <w:sz w:val="20"/>
          <w:szCs w:val="20"/>
          <w:color w:val="auto"/>
        </w:rPr>
      </w:pPr>
      <w:r>
        <w:rPr>
          <w:rFonts w:ascii="Times New Roman" w:cs="Times New Roman" w:eastAsia="Times New Roman" w:hAnsi="Times New Roman"/>
          <w:sz w:val="14"/>
          <w:szCs w:val="14"/>
          <w:color w:val="auto"/>
        </w:rPr>
        <w:t>provisions in our Amended and Restated</w:t>
      </w:r>
    </w:p>
    <w:p>
      <w:pPr>
        <w:ind w:left="2760"/>
        <w:spacing w:after="0" w:line="232" w:lineRule="auto"/>
        <w:tabs>
          <w:tab w:leader="none" w:pos="3800" w:val="left"/>
          <w:tab w:leader="none" w:pos="4260" w:val="left"/>
          <w:tab w:leader="none" w:pos="4980" w:val="left"/>
        </w:tabs>
        <w:rPr>
          <w:sz w:val="20"/>
          <w:szCs w:val="20"/>
          <w:color w:val="auto"/>
        </w:rPr>
      </w:pPr>
      <w:r>
        <w:rPr>
          <w:rFonts w:ascii="Times New Roman" w:cs="Times New Roman" w:eastAsia="Times New Roman" w:hAnsi="Times New Roman"/>
          <w:sz w:val="14"/>
          <w:szCs w:val="14"/>
          <w:color w:val="auto"/>
        </w:rPr>
        <w:t>Memorandum</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Articles</w:t>
      </w:r>
      <w:r>
        <w:rPr>
          <w:sz w:val="20"/>
          <w:szCs w:val="20"/>
          <w:color w:val="auto"/>
        </w:rPr>
        <w:tab/>
      </w:r>
      <w:r>
        <w:rPr>
          <w:rFonts w:ascii="Times New Roman" w:cs="Times New Roman" w:eastAsia="Times New Roman" w:hAnsi="Times New Roman"/>
          <w:sz w:val="14"/>
          <w:szCs w:val="14"/>
          <w:color w:val="auto"/>
        </w:rPr>
        <w:t>of</w:t>
      </w:r>
    </w:p>
    <w:p>
      <w:pPr>
        <w:ind w:left="2760"/>
        <w:spacing w:after="0" w:line="231" w:lineRule="auto"/>
        <w:rPr>
          <w:sz w:val="20"/>
          <w:szCs w:val="20"/>
          <w:color w:val="auto"/>
        </w:rPr>
      </w:pPr>
      <w:r>
        <w:rPr>
          <w:rFonts w:ascii="Times New Roman" w:cs="Times New Roman" w:eastAsia="Times New Roman" w:hAnsi="Times New Roman"/>
          <w:sz w:val="14"/>
          <w:szCs w:val="14"/>
          <w:color w:val="auto"/>
        </w:rPr>
        <w:t>Association that require our company to</w:t>
      </w:r>
    </w:p>
    <w:p>
      <w:pPr>
        <w:ind w:left="2760"/>
        <w:spacing w:after="0" w:line="231" w:lineRule="auto"/>
        <w:rPr>
          <w:sz w:val="20"/>
          <w:szCs w:val="20"/>
          <w:color w:val="auto"/>
        </w:rPr>
      </w:pPr>
      <w:r>
        <w:rPr>
          <w:rFonts w:ascii="Times New Roman" w:cs="Times New Roman" w:eastAsia="Times New Roman" w:hAnsi="Times New Roman"/>
          <w:sz w:val="14"/>
          <w:szCs w:val="14"/>
          <w:color w:val="auto"/>
        </w:rPr>
        <w:t>disclose  shareholder  ownership  above</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any particular ownership threshold.</w:t>
      </w:r>
    </w:p>
    <w:p>
      <w:pPr>
        <w:spacing w:after="0" w:line="20" w:lineRule="exact"/>
        <w:rPr>
          <w:sz w:val="20"/>
          <w:szCs w:val="20"/>
          <w:color w:val="auto"/>
        </w:rPr>
      </w:pPr>
      <w:r>
        <w:rPr>
          <w:sz w:val="20"/>
          <w:szCs w:val="20"/>
          <w:color w:val="auto"/>
        </w:rPr>
        <w:br w:type="column"/>
      </w:r>
    </w:p>
    <w:p>
      <w:pPr>
        <w:jc w:val="both"/>
        <w:ind w:right="1399"/>
        <w:spacing w:after="0" w:line="236" w:lineRule="auto"/>
        <w:rPr>
          <w:sz w:val="20"/>
          <w:szCs w:val="20"/>
          <w:color w:val="auto"/>
        </w:rPr>
      </w:pPr>
      <w:r>
        <w:rPr>
          <w:rFonts w:ascii="Times New Roman" w:cs="Times New Roman" w:eastAsia="Times New Roman" w:hAnsi="Times New Roman"/>
          <w:sz w:val="14"/>
          <w:szCs w:val="14"/>
          <w:color w:val="auto"/>
        </w:rPr>
        <w:t>membership interests in a Delaware company can be owned by non-U.S. nationals.</w:t>
      </w:r>
    </w:p>
    <w:p>
      <w:pPr>
        <w:spacing w:after="0" w:line="972" w:lineRule="exact"/>
        <w:rPr>
          <w:sz w:val="20"/>
          <w:szCs w:val="20"/>
          <w:color w:val="auto"/>
        </w:rPr>
      </w:pPr>
    </w:p>
    <w:p>
      <w:pPr>
        <w:sectPr>
          <w:pgSz w:w="11900" w:h="16838" w:orient="portrait"/>
          <w:cols w:equalWidth="0" w:num="2">
            <w:col w:w="5120" w:space="160"/>
            <w:col w:w="3739"/>
          </w:cols>
          <w:pgMar w:left="1440" w:top="104" w:right="1440" w:bottom="1440" w:gutter="0" w:footer="0" w:header="0"/>
          <w:type w:val="continuous"/>
        </w:sectPr>
      </w:pPr>
    </w:p>
    <w:p>
      <w:pPr>
        <w:spacing w:after="0" w:line="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Special Considerations for Exempted Companies</w:t>
      </w:r>
    </w:p>
    <w:p>
      <w:pPr>
        <w:spacing w:after="0" w:line="112" w:lineRule="exact"/>
        <w:rPr>
          <w:sz w:val="20"/>
          <w:szCs w:val="20"/>
          <w:color w:val="auto"/>
        </w:rPr>
      </w:pPr>
    </w:p>
    <w:p>
      <w:pPr>
        <w:jc w:val="both"/>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We are an exempted company incorporated with limited liability under the Companies Act (As Revised) of the Cayman Islands. The Companies Act (As Revised)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40" w:lineRule="exact"/>
        <w:rPr>
          <w:sz w:val="20"/>
          <w:szCs w:val="20"/>
          <w:color w:val="auto"/>
        </w:rPr>
      </w:pPr>
    </w:p>
    <w:p>
      <w:pPr>
        <w:ind w:left="1780" w:hanging="14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file an annual return of its shareholders with the Registrar of Companies;</w:t>
      </w:r>
    </w:p>
    <w:p>
      <w:pPr>
        <w:spacing w:after="0" w:line="5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required to open its register of members for inspection;</w:t>
      </w:r>
    </w:p>
    <w:p>
      <w:pPr>
        <w:spacing w:after="0" w:line="5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hold an annual general meeting;</w:t>
      </w:r>
    </w:p>
    <w:p>
      <w:pPr>
        <w:spacing w:after="0" w:line="5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issue shares with no par value;</w:t>
      </w:r>
    </w:p>
    <w:p>
      <w:pPr>
        <w:spacing w:after="0" w:line="5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obtain an undertaking against the imposition of any future taxation (such undertakings are usually given for 20 years in the first instance);</w:t>
      </w:r>
    </w:p>
    <w:p>
      <w:pPr>
        <w:spacing w:after="0" w:line="16" w:lineRule="exact"/>
        <w:rPr>
          <w:rFonts w:ascii="Times New Roman" w:cs="Times New Roman" w:eastAsia="Times New Roman" w:hAnsi="Times New Roman"/>
          <w:sz w:val="14"/>
          <w:szCs w:val="14"/>
          <w:color w:val="auto"/>
        </w:rPr>
      </w:pPr>
    </w:p>
    <w:p>
      <w:pPr>
        <w:ind w:left="1780" w:right="1379" w:hanging="144"/>
        <w:spacing w:after="0" w:line="256"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by way of continuation in another jurisdiction and be deregistered in the Cayman Islands;</w:t>
      </w:r>
    </w:p>
    <w:p>
      <w:pPr>
        <w:spacing w:after="0" w:line="221"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limited duration company; and</w:t>
      </w:r>
    </w:p>
    <w:p>
      <w:pPr>
        <w:spacing w:after="0" w:line="5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segregated portfolio company.</w:t>
      </w:r>
    </w:p>
    <w:p>
      <w:pPr>
        <w:spacing w:after="0" w:line="108"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Rights of Non-Resident or Foreign Shareholders</w:t>
      </w:r>
    </w:p>
    <w:p>
      <w:pPr>
        <w:spacing w:after="0" w:line="112"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There are no limitations imposed by our Amended and Restated Memorandum and Articles of Association on the rights of non- resident or foreign shareholders to hold or exercise voting rights on Ordinary Shares. In addition, there are no provisions in the our Amended and Restated Memorandum and Articles of Association governing the ownership threshold above which shareholder ownership must be disclosed.</w:t>
      </w:r>
    </w:p>
    <w:p>
      <w:pPr>
        <w:spacing w:after="0" w:line="30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Enforceability of Civil Liability under Cayman Islands Law</w:t>
      </w:r>
    </w:p>
    <w:p>
      <w:pPr>
        <w:spacing w:after="0" w:line="122" w:lineRule="exact"/>
        <w:rPr>
          <w:sz w:val="20"/>
          <w:szCs w:val="20"/>
          <w:color w:val="auto"/>
        </w:rPr>
      </w:pPr>
    </w:p>
    <w:p>
      <w:pPr>
        <w:jc w:val="both"/>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spacing w:after="0" w:line="93"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9" w:name="page40"/>
    <w:bookmarkEnd w:id="3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rPr>
          <w:sz w:val="20"/>
          <w:szCs w:val="20"/>
          <w:color w:val="auto"/>
        </w:rPr>
      </w:pPr>
      <w:r>
        <w:rPr>
          <w:rFonts w:ascii="Times New Roman" w:cs="Times New Roman" w:eastAsia="Times New Roman" w:hAnsi="Times New Roman"/>
          <w:sz w:val="14"/>
          <w:szCs w:val="14"/>
          <w:color w:val="auto"/>
        </w:rPr>
        <w:t>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spacing w:after="0" w:line="49" w:lineRule="exact"/>
        <w:rPr>
          <w:sz w:val="20"/>
          <w:szCs w:val="20"/>
          <w:color w:val="auto"/>
        </w:rPr>
      </w:pPr>
    </w:p>
    <w:p>
      <w:pPr>
        <w:jc w:val="both"/>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3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Anti-Money Laundering — Cayman Islands</w:t>
      </w:r>
    </w:p>
    <w:p>
      <w:pPr>
        <w:spacing w:after="0" w:line="81" w:lineRule="exact"/>
        <w:rPr>
          <w:sz w:val="20"/>
          <w:szCs w:val="20"/>
          <w:color w:val="auto"/>
        </w:rPr>
      </w:pPr>
    </w:p>
    <w:p>
      <w:pPr>
        <w:jc w:val="both"/>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spacing w:after="0" w:line="50"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46" w:lineRule="exact"/>
        <w:rPr>
          <w:sz w:val="20"/>
          <w:szCs w:val="20"/>
          <w:color w:val="auto"/>
        </w:rPr>
      </w:pPr>
    </w:p>
    <w:p>
      <w:pPr>
        <w:jc w:val="both"/>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Data Protection — Cayman Islands</w:t>
      </w:r>
    </w:p>
    <w:p>
      <w:pPr>
        <w:spacing w:after="0" w:line="71"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We have certain duties under the Data Protection Act (As Revised) of the Cayman Islands (the “DPA”) based on internationally accepted principles of data privacy.</w:t>
      </w:r>
    </w:p>
    <w:p>
      <w:pPr>
        <w:spacing w:after="0" w:line="1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Privacy Notice</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Introduction</w:t>
      </w:r>
    </w:p>
    <w:p>
      <w:pPr>
        <w:spacing w:after="0" w:line="81"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This privacy notice puts our shareholders on notice that through your investment in us you will provide us with certain personal information which constitutes personal data within the meaning of the DPA (“personal data”). In the following discussion, the “company” refers to us and our affiliates and/or delegates, except where the context requires otherwise.</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Investor Data</w:t>
      </w:r>
    </w:p>
    <w:p>
      <w:pPr>
        <w:spacing w:after="0" w:line="81"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91"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Who this Affects</w:t>
      </w:r>
    </w:p>
    <w:p>
      <w:pPr>
        <w:spacing w:after="0" w:line="122"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How We May Use a Shareholder’s Personal Data</w:t>
      </w:r>
    </w:p>
    <w:p>
      <w:pPr>
        <w:spacing w:after="0" w:line="112"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We, as the data controller, may collect, store and use personal data for lawful purposes, including, in particular:</w:t>
      </w:r>
    </w:p>
    <w:p>
      <w:pPr>
        <w:spacing w:after="0" w:line="47" w:lineRule="exact"/>
        <w:rPr>
          <w:sz w:val="20"/>
          <w:szCs w:val="20"/>
          <w:color w:val="auto"/>
        </w:rPr>
      </w:pPr>
    </w:p>
    <w:p>
      <w:pPr>
        <w:ind w:left="1780" w:right="1379" w:hanging="144"/>
        <w:spacing w:after="0" w:line="273"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is necessary for the performance of our rights and obligations under any purchase agreements;</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is necessary for compliance with a legal and regulatory obligation to which we are subject (such as compliance with anti-money laundering and FATCA/CRS requirements); and/or</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is necessary for the purposes of our legitimate interests and such interests are not overridden by your interests, fundamental rights or freedoms.</w:t>
      </w:r>
    </w:p>
    <w:p>
      <w:pPr>
        <w:spacing w:after="0" w:line="78"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Should we wish to use personal data for other specific purposes (including, if applicable, any purpose that requires your consent), we will contact you.</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Why We May Transfer Your Personal Data</w:t>
      </w:r>
    </w:p>
    <w:p>
      <w:pPr>
        <w:spacing w:after="0" w:line="122"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regulatory authorities, including tax authorities.</w:t>
      </w:r>
    </w:p>
    <w:p>
      <w:pPr>
        <w:spacing w:after="0" w:line="81"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We anticipate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Data Protection Measures We Take</w:t>
      </w:r>
    </w:p>
    <w:p>
      <w:pPr>
        <w:spacing w:after="0" w:line="122"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Any transfer of personal data by us or our duly authorized affiliates and/or delegates outside of the Cayman Islands shall be in accordance with the requirements of the DPA. 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We shall notify you of any personal data breach that is reasonably likely to result in a risk to your interests, fundamental rights or freedoms or those data subjects to whom the relevant personal data relates.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PREFERRED SHARES</w:t>
      </w:r>
    </w:p>
    <w:p>
      <w:pPr>
        <w:spacing w:after="0" w:line="122"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Although we do not currently intend to issue any additional preferred shares, we cannot assure you that we will not do so in the future.</w:t>
      </w:r>
    </w:p>
    <w:p>
      <w:pPr>
        <w:spacing w:after="0" w:line="96"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As of the date of this prospectus, there are 290,000 Series A Preferred Shares issued and outstanding. The material terms of any series of preferred shares that we offer, together with any material U.S. federal income tax considerations relating to such preferred shares, will be described in the applicable prospectus supplement.</w:t>
      </w:r>
    </w:p>
    <w:p>
      <w:pPr>
        <w:spacing w:after="0" w:line="248"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Holders of our preferred shares are entitled to certain rights and subject to certain conditions as set forth in our currently effective memorandum and articles of association and the Cayman Companies Act. See “Description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2"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We may issue warrants to purchase our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Equity Warrants</w:t>
      </w:r>
    </w:p>
    <w:p>
      <w:pPr>
        <w:spacing w:after="0" w:line="122"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82" w:lineRule="exact"/>
        <w:rPr>
          <w:sz w:val="20"/>
          <w:szCs w:val="20"/>
          <w:color w:val="auto"/>
        </w:rPr>
      </w:pPr>
    </w:p>
    <w:p>
      <w:pPr>
        <w:jc w:val="both"/>
        <w:ind w:left="1360" w:right="1379" w:firstLine="276"/>
        <w:spacing w:after="0" w:line="244" w:lineRule="auto"/>
        <w:rPr>
          <w:sz w:val="20"/>
          <w:szCs w:val="20"/>
          <w:color w:val="auto"/>
        </w:rPr>
      </w:pPr>
      <w:r>
        <w:rPr>
          <w:rFonts w:ascii="Times New Roman" w:cs="Times New Roman" w:eastAsia="Times New Roman" w:hAnsi="Times New Roman"/>
          <w:sz w:val="14"/>
          <w:szCs w:val="14"/>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88"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51" w:lineRule="exact"/>
        <w:rPr>
          <w:sz w:val="20"/>
          <w:szCs w:val="20"/>
          <w:color w:val="auto"/>
        </w:rPr>
      </w:pPr>
    </w:p>
    <w:p>
      <w:pPr>
        <w:ind w:left="1780" w:hanging="144"/>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equity warrants;</w:t>
      </w:r>
    </w:p>
    <w:p>
      <w:pPr>
        <w:spacing w:after="0" w:line="7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6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equity warrants and the aggregate amount of equity securities purchasable upon exercise of the equity warrants;</w:t>
      </w:r>
    </w:p>
    <w:p>
      <w:pPr>
        <w:spacing w:after="0" w:line="3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7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equity securities with which the equity warrants are issued, and the amount of equity warrants issued with each equity security;</w:t>
      </w:r>
    </w:p>
    <w:p>
      <w:pPr>
        <w:spacing w:after="0" w:line="2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equity warrants and the related equity security will be separately transferable;</w:t>
      </w:r>
    </w:p>
    <w:p>
      <w:pPr>
        <w:spacing w:after="0" w:line="3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equity warrants that may be exercised at any one time;</w:t>
      </w:r>
    </w:p>
    <w:p>
      <w:pPr>
        <w:spacing w:after="0" w:line="3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equity warrants will commence and the date on which the right will expire;</w:t>
      </w:r>
    </w:p>
    <w:p>
      <w:pPr>
        <w:spacing w:after="0" w:line="2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United States federal income tax, accounting or other considerations applicable to the equity warrants;</w:t>
      </w:r>
    </w:p>
    <w:p>
      <w:pPr>
        <w:spacing w:after="0" w:line="3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equity warrants, if any;</w:t>
      </w:r>
    </w:p>
    <w:p>
      <w:pPr>
        <w:spacing w:after="0" w:line="7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equity warrants; and</w:t>
      </w:r>
    </w:p>
    <w:p>
      <w:pPr>
        <w:spacing w:after="0" w:line="66"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equity warrants, including terms, procedures and limitations relating to the exchange and exercise of the equity warrants.</w:t>
      </w:r>
    </w:p>
    <w:p>
      <w:pPr>
        <w:spacing w:after="0" w:line="78"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122"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82"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51" w:lineRule="exact"/>
        <w:rPr>
          <w:sz w:val="20"/>
          <w:szCs w:val="20"/>
          <w:color w:val="auto"/>
        </w:rPr>
      </w:pPr>
    </w:p>
    <w:p>
      <w:pPr>
        <w:ind w:left="1780" w:hanging="14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warrants;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aggregate principal amount and terms of the debt securities purchasable upon exercise of the debt warrants;</w:t>
      </w:r>
    </w:p>
    <w:p>
      <w:pPr>
        <w:spacing w:after="0" w:line="3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terms of any related debt securities with which the debt warrants are issued and the amount of the debt warrants issued with each debt security;</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debt warrants and the related debt securities will be separately transferable;</w:t>
      </w:r>
    </w:p>
    <w:p>
      <w:pPr>
        <w:spacing w:after="0" w:line="47" w:lineRule="exact"/>
        <w:rPr>
          <w:rFonts w:ascii="Times New Roman" w:cs="Times New Roman" w:eastAsia="Times New Roman" w:hAnsi="Times New Roman"/>
          <w:sz w:val="14"/>
          <w:szCs w:val="14"/>
          <w:color w:val="auto"/>
        </w:rPr>
      </w:pPr>
    </w:p>
    <w:p>
      <w:pPr>
        <w:jc w:val="both"/>
        <w:ind w:left="1780" w:right="1379" w:hanging="144"/>
        <w:spacing w:after="0" w:line="266"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each debt warrant and the price at which that principal amount of debt securities may be purchased upon exercise of each debt warrant;</w:t>
      </w:r>
    </w:p>
    <w:p>
      <w:pPr>
        <w:spacing w:after="0" w:line="222"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warrants that may be exercised at any one time;</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debt warrants will commence and the date on which the right will expire;</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United States federal income tax, accounting or other considerations applicable to the debt warrants;</w:t>
      </w:r>
    </w:p>
    <w:p>
      <w:pPr>
        <w:spacing w:after="0" w:line="3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will be issued in registered or bearer form, and, if registered, where they may be transferred and registered;</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debt warrants, if any;</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debt warrants; and</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debt warrants, including terms, procedures and limitations relating to the exchange and exercise of the debt warrants.</w:t>
      </w:r>
    </w:p>
    <w:p>
      <w:pPr>
        <w:spacing w:after="0" w:line="78"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3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Existing Warrants in relation to the Business Combination</w:t>
      </w:r>
    </w:p>
    <w:p>
      <w:pPr>
        <w:spacing w:after="0" w:line="112"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 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as set forth below.</w:t>
      </w:r>
    </w:p>
    <w:p>
      <w:pPr>
        <w:spacing w:after="0" w:line="93"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Each whole public warrant entitles the registered holder to purchase one share of our Ordinary Share at a price of US$11.50 per share, subject to adjustment as discussed below. Pursuant to the public warrant agreement, a public warrant holder may exercise public warrants only for a whole number of Ordinary Shares.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5" w:lineRule="auto"/>
        <w:rPr>
          <w:sz w:val="20"/>
          <w:szCs w:val="20"/>
          <w:color w:val="auto"/>
        </w:rPr>
      </w:pPr>
      <w:r>
        <w:rPr>
          <w:rFonts w:ascii="Times New Roman" w:cs="Times New Roman" w:eastAsia="Times New Roman" w:hAnsi="Times New Roman"/>
          <w:sz w:val="14"/>
          <w:szCs w:val="14"/>
          <w:color w:val="auto"/>
        </w:rPr>
        <w:t>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w:t>
      </w:r>
    </w:p>
    <w:p>
      <w:pPr>
        <w:spacing w:after="0" w:line="91"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w:t>
      </w:r>
    </w:p>
    <w:p>
      <w:pPr>
        <w:spacing w:after="0" w:line="102"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w:t>
      </w:r>
    </w:p>
    <w:p>
      <w:pPr>
        <w:spacing w:after="0" w:line="5" w:lineRule="exact"/>
        <w:rPr>
          <w:sz w:val="20"/>
          <w:szCs w:val="20"/>
          <w:color w:val="auto"/>
        </w:rPr>
      </w:pPr>
    </w:p>
    <w:p>
      <w:pPr>
        <w:jc w:val="both"/>
        <w:ind w:left="1360" w:right="1379"/>
        <w:spacing w:after="0" w:line="250" w:lineRule="auto"/>
        <w:tabs>
          <w:tab w:leader="none" w:pos="157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83"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w:t>
      </w:r>
    </w:p>
    <w:p>
      <w:pPr>
        <w:spacing w:after="0" w:line="3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Once the public warrants become exercisable, we may call the public warrants for redemption:</w:t>
      </w:r>
    </w:p>
    <w:p>
      <w:pPr>
        <w:spacing w:after="0" w:line="87" w:lineRule="exact"/>
        <w:rPr>
          <w:sz w:val="20"/>
          <w:szCs w:val="20"/>
          <w:color w:val="auto"/>
        </w:rPr>
      </w:pPr>
    </w:p>
    <w:p>
      <w:pPr>
        <w:ind w:left="1780" w:hanging="144"/>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US$0.01 per public warrant;</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30 days’ prior written notice of redemption, or the 30-day redemption period, to each public warrant holder; and</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780" w:right="1379" w:hanging="144"/>
        <w:spacing w:after="0" w:line="255"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w:t>
      </w:r>
    </w:p>
    <w:p>
      <w:pPr>
        <w:spacing w:after="0" w:line="91"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 and Cashless Exercise</w:t>
      </w:r>
    </w:p>
    <w:p>
      <w:pPr>
        <w:spacing w:after="0" w:line="122"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 the public warrants for that number of Ordinary Shares equal to the quotient obtained by dividing (x) the product of the number of Ordinary Shares underlying the public warrants, multiplied by the excess of the “fair market value”(as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88"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22"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6" w:name="page47"/>
    <w:bookmarkEnd w:id="4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73" w:lineRule="auto"/>
        <w:rPr>
          <w:sz w:val="20"/>
          <w:szCs w:val="20"/>
          <w:color w:val="auto"/>
        </w:rPr>
      </w:pPr>
      <w:r>
        <w:rPr>
          <w:rFonts w:ascii="Times New Roman" w:cs="Times New Roman" w:eastAsia="Times New Roman" w:hAnsi="Times New Roman"/>
          <w:sz w:val="14"/>
          <w:szCs w:val="14"/>
          <w:color w:val="auto"/>
        </w:rPr>
        <w:t>the trading day prior to the first date on which the Ordinary Shares trade on the applicable exchange or in the applicable market, regular way, without the right to receive such rights.</w:t>
      </w:r>
    </w:p>
    <w:p>
      <w:pPr>
        <w:spacing w:after="0" w:line="68"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Notwithstanding anything to the contrary, no shares of Ordinary Shares shall be issued at less than their par value.</w:t>
      </w:r>
    </w:p>
    <w:p>
      <w:pPr>
        <w:spacing w:after="0" w:line="79"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w:t>
      </w:r>
    </w:p>
    <w:p>
      <w:pPr>
        <w:spacing w:after="0" w:line="93" w:lineRule="exact"/>
        <w:rPr>
          <w:sz w:val="20"/>
          <w:szCs w:val="20"/>
          <w:color w:val="auto"/>
        </w:rPr>
      </w:pPr>
    </w:p>
    <w:p>
      <w:pPr>
        <w:jc w:val="both"/>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w:t>
      </w:r>
    </w:p>
    <w:p>
      <w:pPr>
        <w:spacing w:after="0" w:line="91" w:lineRule="exact"/>
        <w:rPr>
          <w:sz w:val="20"/>
          <w:szCs w:val="20"/>
          <w:color w:val="auto"/>
        </w:rPr>
      </w:pPr>
    </w:p>
    <w:p>
      <w:pPr>
        <w:jc w:val="both"/>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w:t>
      </w:r>
    </w:p>
    <w:p>
      <w:pPr>
        <w:spacing w:after="0" w:line="254" w:lineRule="exact"/>
        <w:rPr>
          <w:sz w:val="20"/>
          <w:szCs w:val="20"/>
          <w:color w:val="auto"/>
        </w:rPr>
      </w:pPr>
    </w:p>
    <w:p>
      <w:pPr>
        <w:jc w:val="both"/>
        <w:ind w:left="1360" w:right="1379" w:firstLine="276"/>
        <w:spacing w:after="0" w:line="237" w:lineRule="auto"/>
        <w:rPr>
          <w:sz w:val="20"/>
          <w:szCs w:val="20"/>
          <w:color w:val="auto"/>
        </w:rPr>
      </w:pPr>
      <w:r>
        <w:rPr>
          <w:rFonts w:ascii="Times New Roman" w:cs="Times New Roman" w:eastAsia="Times New Roman" w:hAnsi="Times New Roman"/>
          <w:sz w:val="14"/>
          <w:szCs w:val="14"/>
          <w:color w:val="auto"/>
        </w:rPr>
        <w:t>In addition, if (x) we issue additional Ordinary Shares or equity -linked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w:t>
      </w:r>
    </w:p>
    <w:p>
      <w:pPr>
        <w:spacing w:after="0" w:line="97"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7" w:name="page48"/>
    <w:bookmarkEnd w:id="4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49" w:lineRule="auto"/>
        <w:rPr>
          <w:sz w:val="20"/>
          <w:szCs w:val="20"/>
          <w:color w:val="auto"/>
        </w:rPr>
      </w:pPr>
      <w:r>
        <w:rPr>
          <w:rFonts w:ascii="Times New Roman" w:cs="Times New Roman" w:eastAsia="Times New Roman" w:hAnsi="Times New Roman"/>
          <w:sz w:val="14"/>
          <w:szCs w:val="14"/>
          <w:color w:val="auto"/>
        </w:rPr>
        <w:t>is to be so listed for trading or quoted immediately following such event, and if the registered holder of the public warrant properly exercises the public warrant within 30 days following public disclosure of such 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w:t>
      </w:r>
    </w:p>
    <w:p>
      <w:pPr>
        <w:spacing w:after="0" w:line="95"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The public warrants have been issued in registered form under the public warrant agreement between American Stock Transfer &amp; Trust Company, LLC, as warrant agent, and us.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w:t>
      </w:r>
    </w:p>
    <w:p>
      <w:pPr>
        <w:spacing w:after="0" w:line="262"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2"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96"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spacing w:after="0" w:line="83"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91"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spacing w:after="0" w:line="62" w:lineRule="exact"/>
        <w:rPr>
          <w:sz w:val="20"/>
          <w:szCs w:val="20"/>
          <w:color w:val="auto"/>
        </w:rPr>
      </w:pPr>
    </w:p>
    <w:p>
      <w:pPr>
        <w:ind w:left="1780" w:hanging="144"/>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aggregate principal amount) at which we will sell the debt securities;</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we will repay the principal on the debt securities and the right, if any, to extend the maturity of the debt securities;</w:t>
      </w:r>
    </w:p>
    <w:p>
      <w:pPr>
        <w:spacing w:after="0" w:line="57" w:lineRule="exact"/>
        <w:rPr>
          <w:rFonts w:ascii="Times New Roman" w:cs="Times New Roman" w:eastAsia="Times New Roman" w:hAnsi="Times New Roman"/>
          <w:sz w:val="14"/>
          <w:szCs w:val="14"/>
          <w:color w:val="auto"/>
        </w:rPr>
      </w:pPr>
    </w:p>
    <w:p>
      <w:pPr>
        <w:jc w:val="both"/>
        <w:ind w:left="1780" w:right="1379" w:hanging="144"/>
        <w:spacing w:after="0" w:line="255"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60"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5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5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5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80" w:hanging="144"/>
        <w:spacing w:after="0"/>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4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7" w:lineRule="exact"/>
        <w:rPr>
          <w:rFonts w:ascii="Times New Roman" w:cs="Times New Roman" w:eastAsia="Times New Roman" w:hAnsi="Times New Roman"/>
          <w:sz w:val="14"/>
          <w:szCs w:val="14"/>
          <w:color w:val="auto"/>
        </w:rPr>
      </w:pPr>
    </w:p>
    <w:p>
      <w:pPr>
        <w:jc w:val="both"/>
        <w:ind w:left="1780" w:right="1379" w:hanging="144"/>
        <w:spacing w:after="0" w:line="254"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228"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8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57" w:lineRule="exact"/>
        <w:rPr>
          <w:rFonts w:ascii="Times New Roman" w:cs="Times New Roman" w:eastAsia="Times New Roman" w:hAnsi="Times New Roman"/>
          <w:sz w:val="14"/>
          <w:szCs w:val="14"/>
          <w:color w:val="auto"/>
        </w:rPr>
      </w:pPr>
    </w:p>
    <w:p>
      <w:pPr>
        <w:ind w:left="1780" w:right="1379" w:hanging="144"/>
        <w:spacing w:after="0" w:line="256"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the indenture with respect to the debt securities;</w:t>
      </w:r>
    </w:p>
    <w:p>
      <w:pPr>
        <w:spacing w:after="0" w:line="241" w:lineRule="exact"/>
        <w:rPr>
          <w:rFonts w:ascii="Times New Roman" w:cs="Times New Roman" w:eastAsia="Times New Roman" w:hAnsi="Times New Roman"/>
          <w:sz w:val="14"/>
          <w:szCs w:val="14"/>
          <w:color w:val="auto"/>
        </w:rPr>
      </w:pPr>
    </w:p>
    <w:p>
      <w:pPr>
        <w:ind w:left="1780" w:right="1379" w:hanging="144"/>
        <w:spacing w:after="0" w:line="256"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or subordinated and any applicable subordination provisions;</w:t>
      </w:r>
    </w:p>
    <w:p>
      <w:pPr>
        <w:spacing w:after="0" w:line="241"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material income tax considerations applicable to the debt securities;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modify any provisions of the indenture as it applies to that series; and</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78"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spacing w:after="0" w:line="261"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255" w:lineRule="exact"/>
        <w:rPr>
          <w:sz w:val="20"/>
          <w:szCs w:val="20"/>
          <w:color w:val="auto"/>
        </w:rPr>
      </w:pPr>
    </w:p>
    <w:p>
      <w:pPr>
        <w:jc w:val="both"/>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265" w:lineRule="exact"/>
        <w:rPr>
          <w:sz w:val="20"/>
          <w:szCs w:val="20"/>
          <w:color w:val="auto"/>
        </w:rPr>
      </w:pPr>
    </w:p>
    <w:p>
      <w:pPr>
        <w:jc w:val="both"/>
        <w:ind w:left="1360" w:right="1379" w:firstLine="276"/>
        <w:spacing w:after="0" w:line="266"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unless we otherwise specify in the applicable prospectus supplement.</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2"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We may issue units composed of any combination of our ordinary shares, preferred shares, debt securities or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61"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spacing w:after="0" w:line="86"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w:t>
      </w:r>
    </w:p>
    <w:p>
      <w:pPr>
        <w:spacing w:after="0" w:line="93"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The applicable prospectus supplement, information incorporated by reference or free writing prospectus may describe:</w:t>
      </w:r>
    </w:p>
    <w:p>
      <w:pPr>
        <w:spacing w:after="0" w:line="47" w:lineRule="exact"/>
        <w:rPr>
          <w:sz w:val="20"/>
          <w:szCs w:val="20"/>
          <w:color w:val="auto"/>
        </w:rPr>
      </w:pPr>
    </w:p>
    <w:p>
      <w:pPr>
        <w:ind w:left="1780" w:right="1379" w:hanging="144"/>
        <w:spacing w:after="0" w:line="273" w:lineRule="auto"/>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composing the units;</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 and</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w:t>
      </w:r>
    </w:p>
    <w:p>
      <w:pPr>
        <w:spacing w:after="0" w:line="118"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The applicable provisions described in this section, as well as those described under “Description of Our Securities,” “Description of Preferred Shares,” “Description of Debt Securities” and “Description of Warrants” above, will apply to each unit and to each security included in each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2" w:lineRule="exact"/>
        <w:rPr>
          <w:sz w:val="20"/>
          <w:szCs w:val="20"/>
          <w:color w:val="auto"/>
        </w:rPr>
      </w:pPr>
    </w:p>
    <w:p>
      <w:pPr>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We may sell or distribute the securities offered by this prospectus, from time to time, in one or more offerings, as follows:</w:t>
      </w:r>
    </w:p>
    <w:p>
      <w:pPr>
        <w:spacing w:after="0" w:line="48" w:lineRule="exact"/>
        <w:rPr>
          <w:sz w:val="20"/>
          <w:szCs w:val="20"/>
          <w:color w:val="auto"/>
        </w:rPr>
      </w:pPr>
    </w:p>
    <w:p>
      <w:pPr>
        <w:ind w:left="1780" w:hanging="144"/>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dealers or underwriters for resale;</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 or</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18"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The prospectus supplement with respect to the securities may state or supplement the terms of the offering of the securities.</w:t>
      </w:r>
    </w:p>
    <w:p>
      <w:pPr>
        <w:spacing w:after="0" w:line="79"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93"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Our securities distributed by any of these methods may be sold to the public, in one or more transactions, either:</w:t>
      </w:r>
    </w:p>
    <w:p>
      <w:pPr>
        <w:spacing w:after="0" w:line="47" w:lineRule="exact"/>
        <w:rPr>
          <w:sz w:val="20"/>
          <w:szCs w:val="20"/>
          <w:color w:val="auto"/>
        </w:rPr>
      </w:pPr>
    </w:p>
    <w:p>
      <w:pPr>
        <w:ind w:left="1780" w:hanging="144"/>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0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prospectus supplement relating to any offering will identify or describe:</w:t>
      </w:r>
    </w:p>
    <w:p>
      <w:pPr>
        <w:spacing w:after="0" w:line="87" w:lineRule="exact"/>
        <w:rPr>
          <w:sz w:val="20"/>
          <w:szCs w:val="20"/>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of the offering;</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underwriter, dealers or agents;</w:t>
      </w:r>
    </w:p>
    <w:p>
      <w:pPr>
        <w:spacing w:after="0" w:line="8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4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 from us;</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 on which the securities will be listed.</w:t>
      </w:r>
    </w:p>
    <w:p>
      <w:pPr>
        <w:spacing w:after="0" w:line="118"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6" w:lineRule="auto"/>
        <w:rPr>
          <w:sz w:val="20"/>
          <w:szCs w:val="20"/>
          <w:color w:val="auto"/>
        </w:rPr>
      </w:pPr>
      <w:r>
        <w:rPr>
          <w:rFonts w:ascii="Times New Roman" w:cs="Times New Roman" w:eastAsia="Times New Roman" w:hAnsi="Times New Roman"/>
          <w:sz w:val="14"/>
          <w:szCs w:val="14"/>
          <w:color w:val="auto"/>
        </w:rPr>
        <w:t>underwriters the respective amount of securities underwritten, the nature of the obligation of the underwriters to take the securities and the nature of any material relationship between an underwriter and us.</w:t>
      </w:r>
    </w:p>
    <w:p>
      <w:pPr>
        <w:spacing w:after="0" w:line="246"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87"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We may designate agents who agree to use their reasonable efforts to solicit purchases for the period of their appointment or to sell securities on a continuing basis.</w:t>
      </w:r>
    </w:p>
    <w:p>
      <w:pPr>
        <w:spacing w:after="0" w:line="79" w:lineRule="exact"/>
        <w:rPr>
          <w:sz w:val="20"/>
          <w:szCs w:val="20"/>
          <w:color w:val="auto"/>
        </w:rPr>
      </w:pPr>
    </w:p>
    <w:p>
      <w:pPr>
        <w:jc w:val="both"/>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93"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249" w:lineRule="exact"/>
        <w:rPr>
          <w:sz w:val="20"/>
          <w:szCs w:val="20"/>
          <w:color w:val="auto"/>
        </w:rPr>
      </w:pPr>
    </w:p>
    <w:p>
      <w:pPr>
        <w:jc w:val="both"/>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91"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Unless otherwise specified in the applicable prospectus supplement or any free writing prospectus, each class or series of securities offered will be a new issue with no established trading market, other than our Ordinary Shares and our Warrants to purchase Ordinary Shares, which are listed on the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93"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238"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Accordingly, to cover these short sales positions or to otherwise stabilize or maintain the price of the securities, the underwriters may bid for or purchase securities in the open market and may impose penalty</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spacing w:after="0" w:line="250" w:lineRule="auto"/>
        <w:rPr>
          <w:sz w:val="20"/>
          <w:szCs w:val="20"/>
          <w:color w:val="auto"/>
        </w:rPr>
      </w:pPr>
      <w:r>
        <w:rPr>
          <w:rFonts w:ascii="Times New Roman" w:cs="Times New Roman" w:eastAsia="Times New Roman" w:hAnsi="Times New Roman"/>
          <w:sz w:val="14"/>
          <w:szCs w:val="14"/>
          <w:color w:val="auto"/>
        </w:rPr>
        <w:t>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or otherwise and, if commenced, may be discontinued at any time.</w:t>
      </w:r>
    </w:p>
    <w:p>
      <w:pPr>
        <w:spacing w:after="0" w:line="96"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w:t>
      </w:r>
    </w:p>
    <w:p>
      <w:pPr>
        <w:spacing w:after="0" w:line="94" w:lineRule="exact"/>
        <w:rPr>
          <w:sz w:val="20"/>
          <w:szCs w:val="20"/>
          <w:color w:val="auto"/>
        </w:rPr>
      </w:pPr>
    </w:p>
    <w:p>
      <w:pPr>
        <w:jc w:val="both"/>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We may loan or pledge securities to a financial institution or other third party that in turn may sell the securities short using this prospectus and applicable prospectus supplement. Such financial institution or third party may transfer its economic short position to investors in our securities or in connection with a concurrent offering of other securities offered by this prospectus and applicable prospectus supplement,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22"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Material income tax consequences relating to the purchase, ownership, and disposition of the securities offered by this prospectus are set forth in “Item 10. Additional Information — E. Taxation” in our 2025 20-F, which is incorporated by reference herein, as updated by our subsequent filings under the Exchange Act that are incorporated by reference and, if applicable, in any accompanying prospectus supplement or relevant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ENFORCEABILITY OF CIVIL LIABILITIES AND AGENT FOR SERVICE OF PROCESS IN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UNITED STATES</w:t>
      </w:r>
    </w:p>
    <w:p>
      <w:pPr>
        <w:spacing w:after="0" w:line="95" w:lineRule="exact"/>
        <w:rPr>
          <w:sz w:val="20"/>
          <w:szCs w:val="20"/>
          <w:color w:val="auto"/>
        </w:rPr>
      </w:pPr>
    </w:p>
    <w:p>
      <w:pPr>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We are incorporated under the laws of the Cayman Islands to take advantage of certain benefits associated with being a Cayman Islands exempted company:</w:t>
      </w:r>
    </w:p>
    <w:p>
      <w:pPr>
        <w:spacing w:after="0" w:line="48" w:lineRule="exact"/>
        <w:rPr>
          <w:sz w:val="20"/>
          <w:szCs w:val="20"/>
          <w:color w:val="auto"/>
        </w:rPr>
      </w:pPr>
    </w:p>
    <w:p>
      <w:pPr>
        <w:ind w:left="1780" w:hanging="144"/>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stability;</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effective judicial system;</w:t>
      </w:r>
    </w:p>
    <w:p>
      <w:pPr>
        <w:spacing w:after="0" w:line="76"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favorable tax system;</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exchange control or currency restrictions; and</w:t>
      </w:r>
    </w:p>
    <w:p>
      <w:pPr>
        <w:spacing w:after="0" w:line="87" w:lineRule="exact"/>
        <w:rPr>
          <w:rFonts w:ascii="Times New Roman" w:cs="Times New Roman" w:eastAsia="Times New Roman" w:hAnsi="Times New Roman"/>
          <w:sz w:val="14"/>
          <w:szCs w:val="14"/>
          <w:color w:val="auto"/>
        </w:rPr>
      </w:pPr>
    </w:p>
    <w:p>
      <w:pPr>
        <w:ind w:left="1780" w:hanging="144"/>
        <w:spacing w:after="0"/>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professional and support services.</w:t>
      </w:r>
    </w:p>
    <w:p>
      <w:pPr>
        <w:spacing w:after="0" w:line="118" w:lineRule="exact"/>
        <w:rPr>
          <w:sz w:val="20"/>
          <w:szCs w:val="20"/>
          <w:color w:val="auto"/>
        </w:rPr>
      </w:pPr>
    </w:p>
    <w:p>
      <w:pPr>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However, certain disadvantages accompany incorporation in the Cayman Islands. These disadvantages include, but are not limited to, the following:</w:t>
      </w:r>
    </w:p>
    <w:p>
      <w:pPr>
        <w:spacing w:after="0" w:line="48" w:lineRule="exact"/>
        <w:rPr>
          <w:sz w:val="20"/>
          <w:szCs w:val="20"/>
          <w:color w:val="auto"/>
        </w:rPr>
      </w:pPr>
    </w:p>
    <w:p>
      <w:pPr>
        <w:ind w:left="1780" w:right="1379" w:hanging="144"/>
        <w:spacing w:after="0" w:line="273"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Islands has a less exhaustive body of securities laws than the United States and these securities laws provide significantly less protection to investors; and</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56"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Cayman Islands companies may not have standing to sue before the federal courts of the United States.</w:t>
      </w:r>
    </w:p>
    <w:p>
      <w:pPr>
        <w:spacing w:after="0" w:line="263"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Our constitutional documents do not contain provisions requiring that disputes, including those arising under the securities laws of the United States, between us, our officers, directors and shareholders, be arbitrated.</w:t>
      </w:r>
    </w:p>
    <w:p>
      <w:pPr>
        <w:spacing w:after="0" w:line="82"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We conduct substantially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93" w:lineRule="exact"/>
        <w:rPr>
          <w:sz w:val="20"/>
          <w:szCs w:val="20"/>
          <w:color w:val="auto"/>
        </w:rPr>
      </w:pPr>
    </w:p>
    <w:p>
      <w:pPr>
        <w:jc w:val="both"/>
        <w:ind w:left="1360" w:right="1379" w:firstLine="276"/>
        <w:spacing w:after="0" w:line="257" w:lineRule="auto"/>
        <w:rPr>
          <w:sz w:val="20"/>
          <w:szCs w:val="20"/>
          <w:color w:val="auto"/>
        </w:rPr>
      </w:pPr>
      <w:r>
        <w:rPr>
          <w:rFonts w:ascii="Times New Roman" w:cs="Times New Roman" w:eastAsia="Times New Roman" w:hAnsi="Times New Roman"/>
          <w:sz w:val="14"/>
          <w:szCs w:val="14"/>
          <w:color w:val="auto"/>
        </w:rPr>
        <w:t>We have appointed Puglisi &amp; Associates as our agent upon whom process may be served in any action brought against us under the securities laws of the United States.</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112" w:lineRule="exact"/>
        <w:rPr>
          <w:sz w:val="20"/>
          <w:szCs w:val="20"/>
          <w:color w:val="auto"/>
        </w:rPr>
      </w:pPr>
    </w:p>
    <w:p>
      <w:pPr>
        <w:jc w:val="both"/>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spacing w:after="0" w:line="91" w:lineRule="exact"/>
        <w:rPr>
          <w:sz w:val="20"/>
          <w:szCs w:val="20"/>
          <w:color w:val="auto"/>
        </w:rPr>
      </w:pPr>
    </w:p>
    <w:p>
      <w:pPr>
        <w:jc w:val="both"/>
        <w:ind w:left="1360" w:right="1379" w:firstLine="276"/>
        <w:spacing w:after="0" w:line="238" w:lineRule="auto"/>
        <w:rPr>
          <w:sz w:val="20"/>
          <w:szCs w:val="20"/>
          <w:color w:val="auto"/>
        </w:rPr>
      </w:pPr>
      <w:r>
        <w:rPr>
          <w:rFonts w:ascii="Times New Roman" w:cs="Times New Roman" w:eastAsia="Times New Roman" w:hAnsi="Times New Roman"/>
          <w:sz w:val="14"/>
          <w:szCs w:val="14"/>
          <w:color w:val="auto"/>
        </w:rPr>
        <w:t>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6" w:name="page57"/>
    <w:bookmarkEnd w:id="5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PRC</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There is uncertainty as to whether the courts of China would:</w:t>
      </w:r>
    </w:p>
    <w:p>
      <w:pPr>
        <w:spacing w:after="0" w:line="87" w:lineRule="exact"/>
        <w:rPr>
          <w:sz w:val="20"/>
          <w:szCs w:val="20"/>
          <w:color w:val="auto"/>
        </w:rPr>
      </w:pPr>
    </w:p>
    <w:p>
      <w:pPr>
        <w:jc w:val="both"/>
        <w:ind w:left="1780" w:right="1379" w:hanging="144"/>
        <w:spacing w:after="0" w:line="259"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entertain original actions brought in each respective jurisdiction against us or our directors or officers predicated upon the securities laws of the United States or any state in the United States.</w:t>
      </w:r>
    </w:p>
    <w:p>
      <w:pPr>
        <w:spacing w:after="0" w:line="78"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it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Holdco in the PRC for disputes relating to contracts or other property interests if they can establish sufficient connection to the PRC for a PRC court to have jurisdiction and meet other procedural requirements. The PRC court will determine whether to accept the complaint in accordance with the PRC Civil Procedures Law. In addition, it will be difficult for U.S. shareholders to originate actions against us in China in accordance with PRC laws because we are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7" w:name="page58"/>
    <w:bookmarkEnd w:id="57"/>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EXPENSES RELATED TO THE OFFERING</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following table sets forth the aggregate expenses to be paid by us in connection with this offering.</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With the exception of the SEC Registration Fee, all amounts are estimates.</w:t>
      </w:r>
    </w:p>
    <w:p>
      <w:pPr>
        <w:spacing w:after="0" w:line="12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​​$6,905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FINRA filing fee</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Legal fees and expenses</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2"/>
            <w:vMerge w:val="continue"/>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Accountants’ fees and expenses</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Printing expenses</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2"/>
            <w:vMerge w:val="continue"/>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Transfer agent fees and expenses</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Miscellaneous costs</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5180" w:type="dxa"/>
            <w:vAlign w:val="bottom"/>
            <w:gridSpan w:val="2"/>
            <w:shd w:val="clear" w:color="auto" w:fill="CCEEFF"/>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180" w:type="dxa"/>
            <w:vAlign w:val="bottom"/>
            <w:tcBorders>
              <w:top w:val="single" w:sz="8" w:color="CCEEFF"/>
            </w:tcBorders>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18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220" w:type="dxa"/>
            <w:vAlign w:val="bottom"/>
            <w:gridSpan w:val="2"/>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320" w:type="dxa"/>
            <w:vAlign w:val="bottom"/>
          </w:tcPr>
          <w:p>
            <w:pPr>
              <w:spacing w:after="0"/>
              <w:rPr>
                <w:sz w:val="3"/>
                <w:szCs w:val="3"/>
                <w:color w:val="auto"/>
              </w:rPr>
            </w:pPr>
          </w:p>
        </w:tc>
        <w:tc>
          <w:tcPr>
            <w:tcW w:w="8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left="1640" w:right="1379" w:hanging="280"/>
        <w:spacing w:after="0" w:line="259" w:lineRule="auto"/>
        <w:tabs>
          <w:tab w:leader="none" w:pos="1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defined at this time. They will be provided by a prospectus supplement or as an exhibit to a Form 6-K that is incorporated by reference into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8" w:name="page59"/>
    <w:bookmarkEnd w:id="58"/>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We are being represented by Baker &amp; McKenzie LLP with respect to certain legal matters as to United States federal securities and New York State law, and by Conyers Dill &amp; Pearman with respect to certain legal matters as to Cayman Islands law. Baker &amp; McKenzie LLP may rely upon Conyers Dill &amp; Pearman with respect to matters governed by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2" w:lineRule="exact"/>
        <w:rPr>
          <w:sz w:val="20"/>
          <w:szCs w:val="20"/>
          <w:color w:val="auto"/>
        </w:rPr>
      </w:pPr>
    </w:p>
    <w:p>
      <w:pPr>
        <w:jc w:val="both"/>
        <w:ind w:left="1360" w:right="1379" w:firstLine="276"/>
        <w:spacing w:after="0" w:line="252" w:lineRule="auto"/>
        <w:rPr>
          <w:sz w:val="20"/>
          <w:szCs w:val="20"/>
          <w:color w:val="auto"/>
        </w:rPr>
      </w:pPr>
      <w:r>
        <w:rPr>
          <w:rFonts w:ascii="Times New Roman" w:cs="Times New Roman" w:eastAsia="Times New Roman" w:hAnsi="Times New Roman"/>
          <w:sz w:val="14"/>
          <w:szCs w:val="14"/>
          <w:color w:val="auto"/>
        </w:rPr>
        <w:t>The consolidated financial statements of Baird Medical Investment Holdings Limited as of December 31, 2025 and 2024, and for each of the three years in the period ended December 31, 2025, incorporated in this registration statement by reference to the Annual Report on Form 20-F for the year ended December 31, 2025, have been in reliance upon the report of Guangdong Prouden CPAs GP, an independent registered public accounting firm, and 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ABOUT US</w:t>
      </w:r>
    </w:p>
    <w:p>
      <w:pPr>
        <w:spacing w:after="0" w:line="122" w:lineRule="exact"/>
        <w:rPr>
          <w:sz w:val="20"/>
          <w:szCs w:val="20"/>
          <w:color w:val="auto"/>
        </w:rPr>
      </w:pPr>
    </w:p>
    <w:p>
      <w:pPr>
        <w:jc w:val="both"/>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96"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 xml:space="preserve">All information filed with the SEC can be obtained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can request copies of these documents, upon payment of a duplicating fee, by writing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SEC. Please call the SEC at 1-800-SEC-0330 or visit the SEC website for further information. We also maintain a website at www.bairdmed.com,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86" w:lineRule="exact"/>
        <w:rPr>
          <w:sz w:val="20"/>
          <w:szCs w:val="20"/>
          <w:color w:val="auto"/>
        </w:rPr>
      </w:pPr>
    </w:p>
    <w:p>
      <w:pPr>
        <w:jc w:val="both"/>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112" w:lineRule="exact"/>
        <w:rPr>
          <w:sz w:val="20"/>
          <w:szCs w:val="20"/>
          <w:color w:val="auto"/>
        </w:rPr>
      </w:pPr>
    </w:p>
    <w:p>
      <w:pPr>
        <w:jc w:val="both"/>
        <w:ind w:left="1360" w:right="1379" w:firstLine="276"/>
        <w:spacing w:after="0" w:line="238" w:lineRule="auto"/>
        <w:rPr>
          <w:sz w:val="20"/>
          <w:szCs w:val="20"/>
          <w:color w:val="auto"/>
        </w:rPr>
      </w:pPr>
      <w:r>
        <w:rPr>
          <w:rFonts w:ascii="Times New Roman" w:cs="Times New Roman" w:eastAsia="Times New Roman" w:hAnsi="Times New Roman"/>
          <w:sz w:val="14"/>
          <w:szCs w:val="14"/>
          <w:color w:val="auto"/>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Amended and Restated Memorandum and Articles of Association provide for indemnification of our officers and directors against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us or our affairs in any court whether in the Cayman Islands or elsewhere.</w:t>
      </w:r>
    </w:p>
    <w:p>
      <w:pPr>
        <w:spacing w:after="0" w:line="80"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Under the indemnification agreement, we will agree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our director or officer. Except with respect to expenses to be reimbursed by us in the event that the indemnified person has been successful on the merits or otherwise in defense of the action, suit or proceeding, our obligations under the indemnification agreements are subject to certain customary restrictions and exceptions.</w:t>
      </w:r>
    </w:p>
    <w:p>
      <w:pPr>
        <w:spacing w:after="0" w:line="83"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In addition, we maintain standard policies of insurance under which coverage is provided to our directors and officers against loss rising from claims made by reason of breach of duty or other wrongful act, and to us with respect to payments which may be made by us to such directors and officers pursuant to the above indemnification provision or otherwise as a matter of law.</w:t>
      </w:r>
    </w:p>
    <w:p>
      <w:pPr>
        <w:spacing w:after="0" w:line="67" w:lineRule="exact"/>
        <w:rPr>
          <w:sz w:val="20"/>
          <w:szCs w:val="20"/>
          <w:color w:val="auto"/>
        </w:rPr>
      </w:pPr>
    </w:p>
    <w:p>
      <w:pPr>
        <w:jc w:val="both"/>
        <w:ind w:left="1360" w:right="1379" w:firstLine="276"/>
        <w:spacing w:after="0" w:line="24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See Exhibit Index beginning on page II-3 of this registration statement.</w:t>
      </w:r>
    </w:p>
    <w:p>
      <w:pPr>
        <w:spacing w:after="0" w:line="1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98" w:lineRule="exact"/>
        <w:rPr>
          <w:sz w:val="20"/>
          <w:szCs w:val="20"/>
          <w:color w:val="auto"/>
        </w:rPr>
      </w:pPr>
    </w:p>
    <w:p>
      <w:pPr>
        <w:ind w:left="1920" w:right="1379" w:hanging="284"/>
        <w:spacing w:after="0" w:line="273" w:lineRule="auto"/>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8" w:lineRule="exact"/>
        <w:rPr>
          <w:rFonts w:ascii="Times New Roman" w:cs="Times New Roman" w:eastAsia="Times New Roman" w:hAnsi="Times New Roman"/>
          <w:sz w:val="14"/>
          <w:szCs w:val="14"/>
          <w:color w:val="auto"/>
        </w:rPr>
      </w:pPr>
    </w:p>
    <w:p>
      <w:pPr>
        <w:ind w:left="2180" w:hanging="268"/>
        <w:spacing w:after="0"/>
        <w:tabs>
          <w:tab w:leader="none" w:pos="218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97" w:lineRule="exact"/>
        <w:rPr>
          <w:rFonts w:ascii="Times New Roman" w:cs="Times New Roman" w:eastAsia="Times New Roman" w:hAnsi="Times New Roman"/>
          <w:sz w:val="14"/>
          <w:szCs w:val="14"/>
          <w:color w:val="auto"/>
        </w:rPr>
      </w:pPr>
    </w:p>
    <w:p>
      <w:pPr>
        <w:jc w:val="both"/>
        <w:ind w:left="2180" w:right="1379" w:hanging="268"/>
        <w:spacing w:after="0" w:line="249" w:lineRule="auto"/>
        <w:tabs>
          <w:tab w:leader="none" w:pos="218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2" w:name="page63"/>
    <w:bookmarkEnd w:id="6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180" w:right="1379" w:hanging="268"/>
        <w:spacing w:after="0" w:line="259" w:lineRule="auto"/>
        <w:tabs>
          <w:tab w:leader="none" w:pos="21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68" w:lineRule="exact"/>
        <w:rPr>
          <w:rFonts w:ascii="Times New Roman" w:cs="Times New Roman" w:eastAsia="Times New Roman" w:hAnsi="Times New Roman"/>
          <w:sz w:val="14"/>
          <w:szCs w:val="14"/>
          <w:color w:val="auto"/>
        </w:rPr>
      </w:pPr>
    </w:p>
    <w:p>
      <w:pPr>
        <w:jc w:val="both"/>
        <w:ind w:left="1920" w:right="1379" w:hanging="284"/>
        <w:spacing w:after="0" w:line="255" w:lineRule="auto"/>
        <w:tabs>
          <w:tab w:leader="none" w:pos="19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Times New Roman" w:cs="Times New Roman" w:eastAsia="Times New Roman" w:hAnsi="Times New Roman"/>
          <w:sz w:val="14"/>
          <w:szCs w:val="14"/>
          <w:color w:val="auto"/>
        </w:rPr>
      </w:pPr>
    </w:p>
    <w:p>
      <w:pPr>
        <w:ind w:left="1920" w:right="1379" w:hanging="284"/>
        <w:spacing w:after="0" w:line="273" w:lineRule="auto"/>
        <w:tabs>
          <w:tab w:leader="none" w:pos="19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8" w:lineRule="exact"/>
        <w:rPr>
          <w:rFonts w:ascii="Times New Roman" w:cs="Times New Roman" w:eastAsia="Times New Roman" w:hAnsi="Times New Roman"/>
          <w:sz w:val="14"/>
          <w:szCs w:val="14"/>
          <w:color w:val="auto"/>
        </w:rPr>
      </w:pPr>
    </w:p>
    <w:p>
      <w:pPr>
        <w:jc w:val="both"/>
        <w:ind w:left="1920" w:right="1379" w:hanging="284"/>
        <w:spacing w:after="0" w:line="259" w:lineRule="auto"/>
        <w:tabs>
          <w:tab w:leader="none" w:pos="19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w:t>
      </w:r>
    </w:p>
    <w:p>
      <w:pPr>
        <w:spacing w:after="0" w:line="68"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shall be governed by the final adjudication of such issue.</w:t>
      </w:r>
    </w:p>
    <w:p>
      <w:pPr>
        <w:spacing w:after="0" w:line="231" w:lineRule="exact"/>
        <w:rPr>
          <w:sz w:val="20"/>
          <w:szCs w:val="20"/>
          <w:color w:val="auto"/>
        </w:rPr>
      </w:pPr>
    </w:p>
    <w:p>
      <w:pPr>
        <w:jc w:val="both"/>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780" w:right="1379" w:hanging="144"/>
        <w:spacing w:after="0" w:line="273"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7" w:lineRule="exact"/>
        <w:rPr>
          <w:rFonts w:ascii="Times New Roman" w:cs="Times New Roman" w:eastAsia="Times New Roman" w:hAnsi="Times New Roman"/>
          <w:sz w:val="14"/>
          <w:szCs w:val="14"/>
          <w:color w:val="auto"/>
        </w:rPr>
      </w:pPr>
    </w:p>
    <w:p>
      <w:pPr>
        <w:jc w:val="both"/>
        <w:ind w:left="1780" w:right="1379" w:hanging="144"/>
        <w:spacing w:after="0" w:line="259"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7" w:lineRule="exact"/>
        <w:rPr>
          <w:rFonts w:ascii="Times New Roman" w:cs="Times New Roman" w:eastAsia="Times New Roman" w:hAnsi="Times New Roman"/>
          <w:sz w:val="14"/>
          <w:szCs w:val="14"/>
          <w:color w:val="auto"/>
        </w:rPr>
      </w:pPr>
    </w:p>
    <w:p>
      <w:pPr>
        <w:ind w:left="1780" w:right="1379" w:hanging="144"/>
        <w:spacing w:after="0" w:line="273"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58" w:lineRule="exact"/>
        <w:rPr>
          <w:sz w:val="20"/>
          <w:szCs w:val="20"/>
          <w:color w:val="auto"/>
        </w:rPr>
      </w:pPr>
    </w:p>
    <w:p>
      <w:pPr>
        <w:jc w:val="both"/>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applicable form.</w:t>
      </w:r>
    </w:p>
    <w:p>
      <w:pPr>
        <w:spacing w:after="0" w:line="81" w:lineRule="exact"/>
        <w:rPr>
          <w:sz w:val="20"/>
          <w:szCs w:val="20"/>
          <w:color w:val="auto"/>
        </w:rPr>
      </w:pPr>
    </w:p>
    <w:p>
      <w:pPr>
        <w:jc w:val="both"/>
        <w:ind w:left="1360" w:right="1379" w:firstLine="276"/>
        <w:spacing w:after="0"/>
        <w:rPr>
          <w:sz w:val="20"/>
          <w:szCs w:val="20"/>
          <w:color w:val="auto"/>
        </w:rPr>
      </w:pPr>
      <w:r>
        <w:rPr>
          <w:rFonts w:ascii="Times New Roman" w:cs="Times New Roman" w:eastAsia="Times New Roman" w:hAnsi="Times New Roman"/>
          <w:sz w:val="14"/>
          <w:szCs w:val="14"/>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shall be filed as a part of an amendment to the registration statement and shall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3" w:name="page64"/>
    <w:bookmarkEnd w:id="6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360" w:right="1379" w:firstLine="276"/>
        <w:spacing w:after="0" w:line="253" w:lineRule="auto"/>
        <w:rPr>
          <w:sz w:val="20"/>
          <w:szCs w:val="20"/>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2"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2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40" w:type="dxa"/>
            <w:vAlign w:val="bottom"/>
            <w:gridSpan w:val="3"/>
          </w:tcPr>
          <w:p>
            <w:pPr>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5"/>
        </w:trPr>
        <w:tc>
          <w:tcPr>
            <w:tcW w:w="360" w:type="dxa"/>
            <w:vAlign w:val="bottom"/>
            <w:tcBorders>
              <w:top w:val="single" w:sz="8" w:color="auto"/>
            </w:tcBorders>
          </w:tcPr>
          <w:p>
            <w:pPr>
              <w:jc w:val="right"/>
              <w:ind w:right="53"/>
              <w:spacing w:after="0" w:line="145" w:lineRule="exact"/>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5740" w:type="dxa"/>
            <w:vAlign w:val="bottom"/>
            <w:tcBorders>
              <w:top w:val="single" w:sz="8" w:color="auto"/>
            </w:tcBorders>
            <w:gridSpan w:val="10"/>
          </w:tcPr>
          <w:p>
            <w:pPr>
              <w:ind w:left="20"/>
              <w:spacing w:after="0" w:line="14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Amended and Restated Memorandum and Articles of Association of Baird Medical Investment</w:t>
              </w:r>
            </w:hyperlink>
          </w:p>
        </w:tc>
        <w:tc>
          <w:tcPr>
            <w:tcW w:w="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Holdings Limited, as currently in effect (incorporated by reference to Exhibit 1.1 to the Shell</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40" w:type="dxa"/>
            <w:vAlign w:val="bottom"/>
            <w:tcBorders>
              <w:bottom w:val="single" w:sz="8" w:color="0000EE"/>
            </w:tcBorders>
            <w:gridSpan w:val="9"/>
          </w:tcPr>
          <w:p>
            <w:pPr>
              <w:spacing w:after="0" w:line="14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Company Report on Form 20-F filed with the SEC on October 9, 2024)</w:t>
              </w:r>
            </w:hyperlink>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4.1</w:t>
            </w:r>
          </w:p>
        </w:tc>
        <w:tc>
          <w:tcPr>
            <w:tcW w:w="5960" w:type="dxa"/>
            <w:vAlign w:val="bottom"/>
            <w:gridSpan w:val="13"/>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2">
              <w:r>
                <w:rPr>
                  <w:rFonts w:ascii="Times New Roman" w:cs="Times New Roman" w:eastAsia="Times New Roman" w:hAnsi="Times New Roman"/>
                  <w:sz w:val="14"/>
                  <w:szCs w:val="14"/>
                  <w:color w:val="0000EE"/>
                </w:rPr>
                <w:t>Specimen Ordinary Share Certificate of Baird Medical Investment Holdings Limited (incorporated</w:t>
              </w:r>
            </w:hyperlink>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by reference to Exhibit 2.1 to the Shell Company Report on Form 20-F filed with the SEC on</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0000EE"/>
            </w:tcBorders>
          </w:tcPr>
          <w:p>
            <w:pPr>
              <w:spacing w:after="0" w:line="145"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October 9, 2024)</w:t>
              </w:r>
            </w:hyperlink>
          </w:p>
        </w:tc>
        <w:tc>
          <w:tcPr>
            <w:tcW w:w="4740" w:type="dxa"/>
            <w:vAlign w:val="bottom"/>
            <w:gridSpan w:val="9"/>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4.2</w:t>
            </w:r>
          </w:p>
        </w:tc>
        <w:tc>
          <w:tcPr>
            <w:tcW w:w="5960" w:type="dxa"/>
            <w:vAlign w:val="bottom"/>
            <w:gridSpan w:val="13"/>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3">
              <w:r>
                <w:rPr>
                  <w:rFonts w:ascii="Times New Roman" w:cs="Times New Roman" w:eastAsia="Times New Roman" w:hAnsi="Times New Roman"/>
                  <w:sz w:val="14"/>
                  <w:szCs w:val="14"/>
                  <w:color w:val="0000EE"/>
                </w:rPr>
                <w:t>Specimen Warrant Certificate of Baird Medical Investment Holdings Limited (incorporated by</w:t>
              </w:r>
            </w:hyperlink>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reference to Exhibit 2.2 to the Shell Company Report on Form 20-F filed with the SEC on</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0000EE"/>
            </w:tcBorders>
          </w:tcPr>
          <w:p>
            <w:pPr>
              <w:spacing w:after="0" w:line="14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October 9, 2024)</w:t>
              </w:r>
            </w:hyperlink>
          </w:p>
        </w:tc>
        <w:tc>
          <w:tcPr>
            <w:tcW w:w="4740" w:type="dxa"/>
            <w:vAlign w:val="bottom"/>
            <w:gridSpan w:val="9"/>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4.3</w:t>
            </w:r>
          </w:p>
        </w:tc>
        <w:tc>
          <w:tcPr>
            <w:tcW w:w="5960" w:type="dxa"/>
            <w:vAlign w:val="bottom"/>
            <w:gridSpan w:val="13"/>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4">
              <w:r>
                <w:rPr>
                  <w:rFonts w:ascii="Times New Roman" w:cs="Times New Roman" w:eastAsia="Times New Roman" w:hAnsi="Times New Roman"/>
                  <w:sz w:val="14"/>
                  <w:szCs w:val="14"/>
                  <w:color w:val="0000EE"/>
                </w:rPr>
                <w:t>Warrant Agreement, dated October 20, 2021, by and between ExcelFin Acquisition Corp. and</w:t>
              </w:r>
            </w:hyperlink>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American Stock Transfer &amp; Trust Company, as warrant agent (incorporated by reference to</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Exhibit 4.1 to Baird Medical Investment Holdings Limited’s Registration Statement on Form F-4,</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gridSpan w:val="10"/>
          </w:tcPr>
          <w:p>
            <w:pPr>
              <w:spacing w:after="0" w:line="14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filed with the SEC on August 26, 2024)</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4.4</w:t>
            </w:r>
          </w:p>
        </w:tc>
        <w:tc>
          <w:tcPr>
            <w:tcW w:w="5960" w:type="dxa"/>
            <w:vAlign w:val="bottom"/>
            <w:gridSpan w:val="13"/>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5">
              <w:r>
                <w:rPr>
                  <w:rFonts w:ascii="Times New Roman" w:cs="Times New Roman" w:eastAsia="Times New Roman" w:hAnsi="Times New Roman"/>
                  <w:sz w:val="14"/>
                  <w:szCs w:val="14"/>
                  <w:color w:val="0000EE"/>
                </w:rPr>
                <w:t>Warrant Assignment, Assumption and Amendment Agreement, dated October 1, 2024, by and</w:t>
              </w:r>
            </w:hyperlink>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among ExcelFin Acquisition Corp., Baird Medical Investment Holdings Limited and American</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Stock Transfer &amp; Trust Company, LLC, in its capacity as Warrant Agent (incorporated by</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bottom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reference to Exhibit 4.7 to the Shell Company Report on Form 20-F filed with the SEC on</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0000EE"/>
            </w:tcBorders>
          </w:tcPr>
          <w:p>
            <w:pPr>
              <w:spacing w:after="0" w:line="14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October 9, 2024)</w:t>
              </w:r>
            </w:hyperlink>
          </w:p>
        </w:tc>
        <w:tc>
          <w:tcPr>
            <w:tcW w:w="4740" w:type="dxa"/>
            <w:vAlign w:val="bottom"/>
            <w:gridSpan w:val="9"/>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5920" w:type="dxa"/>
            <w:vAlign w:val="bottom"/>
            <w:gridSpan w:val="12"/>
          </w:tcPr>
          <w:p>
            <w:pPr>
              <w:ind w:left="40"/>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Specimen Preferred Share Certificate and Form of Certificate of Designations of Preferred Shares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4.7</w:t>
            </w:r>
          </w:p>
        </w:tc>
        <w:tc>
          <w:tcPr>
            <w:tcW w:w="5920" w:type="dxa"/>
            <w:vAlign w:val="bottom"/>
            <w:gridSpan w:val="12"/>
          </w:tcPr>
          <w:p>
            <w:pPr>
              <w:ind w:left="40"/>
              <w:spacing w:after="0" w:line="189"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Form of Indenture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4"/>
        </w:trPr>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gridSpan w:val="2"/>
            <w:vMerge w:val="continue"/>
          </w:tcPr>
          <w:p>
            <w:pPr>
              <w:spacing w:after="0"/>
              <w:rPr>
                <w:sz w:val="16"/>
                <w:szCs w:val="16"/>
                <w:color w:val="auto"/>
              </w:rPr>
            </w:pPr>
          </w:p>
        </w:tc>
        <w:tc>
          <w:tcPr>
            <w:tcW w:w="57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Debt Security</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5920" w:type="dxa"/>
            <w:vAlign w:val="bottom"/>
            <w:gridSpan w:val="12"/>
          </w:tcPr>
          <w:p>
            <w:pPr>
              <w:ind w:left="4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Warrant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5.1</w:t>
            </w:r>
          </w:p>
        </w:tc>
        <w:tc>
          <w:tcPr>
            <w:tcW w:w="59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Opinion of Conyers Dill &amp; Pearman as to the validity of the Ordinary Shares of Baird Medical</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rPr>
              <w:t>Investment Holdings Limited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5.2</w:t>
            </w:r>
          </w:p>
        </w:tc>
        <w:tc>
          <w:tcPr>
            <w:tcW w:w="59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Opinion of Baker &amp; McKenzie LLP as to the validity of certain securities of Baird Medical</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tcBorders>
              <w:top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rPr>
              <w:t>Investment Holdings Limited to be issued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2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89"/>
              </w:rPr>
              <w:t>23.1</w:t>
            </w:r>
          </w:p>
        </w:tc>
        <w:tc>
          <w:tcPr>
            <w:tcW w:w="5920" w:type="dxa"/>
            <w:vAlign w:val="bottom"/>
            <w:gridSpan w:val="12"/>
          </w:tcPr>
          <w:p>
            <w:pPr>
              <w:ind w:left="40"/>
              <w:spacing w:after="0" w:line="187"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Consent of Guangdong Prouden CPAs GP</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40" w:type="dxa"/>
            <w:vAlign w:val="bottom"/>
            <w:tcBorders>
              <w:left w:val="single" w:sz="8" w:color="0000EE"/>
            </w:tcBorders>
            <w:gridSpan w:val="6"/>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89"/>
              </w:rPr>
              <w:t>23.4</w:t>
            </w:r>
          </w:p>
        </w:tc>
        <w:tc>
          <w:tcPr>
            <w:tcW w:w="180" w:type="dxa"/>
            <w:vAlign w:val="bottom"/>
            <w:gridSpan w:val="2"/>
            <w:vMerge w:val="continue"/>
          </w:tcPr>
          <w:p>
            <w:pPr>
              <w:spacing w:after="0"/>
              <w:rPr>
                <w:sz w:val="15"/>
                <w:szCs w:val="15"/>
                <w:color w:val="auto"/>
              </w:rPr>
            </w:pPr>
          </w:p>
        </w:tc>
        <w:tc>
          <w:tcPr>
            <w:tcW w:w="574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Consent of Conyers Dill &amp; Pearman (included in Exhibit 5.1)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89"/>
              </w:rPr>
              <w:t>23.5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5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Baker &amp; McKenzie LLP (included in Exhibit 5.2)</w:t>
            </w:r>
          </w:p>
        </w:tc>
        <w:tc>
          <w:tcPr>
            <w:tcW w:w="2180" w:type="dxa"/>
            <w:vAlign w:val="bottom"/>
            <w:gridSpan w:val="2"/>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ind w:left="1900" w:right="1339" w:hanging="547"/>
        <w:spacing w:after="0" w:line="272" w:lineRule="auto"/>
        <w:rPr>
          <w:sz w:val="20"/>
          <w:szCs w:val="20"/>
          <w:color w:val="auto"/>
        </w:rPr>
      </w:pPr>
      <w:r>
        <w:rPr>
          <w:rFonts w:ascii="Times New Roman" w:cs="Times New Roman" w:eastAsia="Times New Roman" w:hAnsi="Times New Roman"/>
          <w:sz w:val="14"/>
          <w:szCs w:val="14"/>
          <w:color w:val="auto"/>
        </w:rPr>
        <w:t>25.1**​ ​ Form T-1 Statement of Eligibility and Qualification under the Trust Indenture Act of 1939, as​ amended, of the Trustee under the Indenture</w:t>
      </w:r>
    </w:p>
    <w:p>
      <w:pPr>
        <w:jc w:val="both"/>
        <w:ind w:left="1360"/>
        <w:spacing w:after="0"/>
        <w:tabs>
          <w:tab w:leader="none" w:pos="1740" w:val="left"/>
          <w:tab w:leader="none" w:pos="7620" w:val="left"/>
        </w:tabs>
        <w:rPr>
          <w:sz w:val="20"/>
          <w:szCs w:val="20"/>
          <w:color w:val="auto"/>
        </w:rPr>
      </w:pPr>
      <w:r>
        <w:rPr>
          <w:rFonts w:ascii="Times New Roman" w:cs="Times New Roman" w:eastAsia="Times New Roman" w:hAnsi="Times New Roman"/>
          <w:sz w:val="14"/>
          <w:szCs w:val="14"/>
          <w:color w:val="auto"/>
        </w:rPr>
        <w:t> 107</w:t>
      </w:r>
      <w:r>
        <w:rPr>
          <w:sz w:val="20"/>
          <w:szCs w:val="20"/>
          <w:color w:val="auto"/>
        </w:rPr>
        <w:tab/>
      </w: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Filing Fee Table</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31750</wp:posOffset>
            </wp:positionV>
            <wp:extent cx="94551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945515" cy="6350"/>
                    </a:xfrm>
                    <a:prstGeom prst="rect">
                      <a:avLst/>
                    </a:prstGeom>
                    <a:noFill/>
                  </pic:spPr>
                </pic:pic>
              </a:graphicData>
            </a:graphic>
          </wp:anchor>
        </w:drawing>
      </w:r>
    </w:p>
    <w:p>
      <w:pPr>
        <w:spacing w:after="0" w:line="131" w:lineRule="exact"/>
        <w:rPr>
          <w:sz w:val="20"/>
          <w:szCs w:val="20"/>
          <w:color w:val="auto"/>
        </w:rPr>
      </w:pPr>
    </w:p>
    <w:p>
      <w:pPr>
        <w:ind w:left="1640" w:right="1379" w:hanging="280"/>
        <w:spacing w:after="0" w:line="273" w:lineRule="auto"/>
        <w:tabs>
          <w:tab w:leader="none" w:pos="1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as an exhibit to a post-effective amendment to this registration statement or as an exhibit to a report filed under the Exchange Act and incorporated herein by reference.</w:t>
      </w:r>
    </w:p>
    <w:p>
      <w:pPr>
        <w:spacing w:after="0" w:line="27" w:lineRule="exact"/>
        <w:rPr>
          <w:sz w:val="20"/>
          <w:szCs w:val="20"/>
          <w:color w:val="auto"/>
        </w:rPr>
      </w:pPr>
    </w:p>
    <w:p>
      <w:pPr>
        <w:ind w:left="4380" w:right="2199" w:hanging="3020"/>
        <w:spacing w:after="0" w:line="720" w:lineRule="auto"/>
        <w:tabs>
          <w:tab w:leader="none" w:pos="163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pursuant to Section 305(b)(2) of the Trust Indenture Act of 1939, as amended.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-26035</wp:posOffset>
            </wp:positionV>
            <wp:extent cx="52330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4" w:name="page65"/>
    <w:bookmarkEnd w:id="6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2" w:lineRule="exact"/>
        <w:rPr>
          <w:sz w:val="20"/>
          <w:szCs w:val="20"/>
          <w:color w:val="auto"/>
        </w:rPr>
      </w:pPr>
    </w:p>
    <w:p>
      <w:pPr>
        <w:jc w:val="both"/>
        <w:ind w:left="1360" w:right="1379" w:firstLine="276"/>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Guangzhou, People’s Republic of China, on May 22, 2026.</w:t>
      </w:r>
    </w:p>
    <w:p>
      <w:pPr>
        <w:spacing w:after="0" w:line="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Baird Medical investment Holdings Limited</w:t>
      </w:r>
    </w:p>
    <w:p>
      <w:pPr>
        <w:spacing w:after="0" w:line="1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By: /s/ Haimei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30480</wp:posOffset>
            </wp:positionV>
            <wp:extent cx="157607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576070" cy="6350"/>
                    </a:xfrm>
                    <a:prstGeom prst="rect">
                      <a:avLst/>
                    </a:prstGeom>
                    <a:noFill/>
                  </pic:spPr>
                </pic:pic>
              </a:graphicData>
            </a:graphic>
          </wp:anchor>
        </w:drawing>
      </w:r>
    </w:p>
    <w:p>
      <w:pPr>
        <w:spacing w:after="0" w:line="8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Name: Haimei Wu</w:t>
      </w:r>
    </w:p>
    <w:p>
      <w:pPr>
        <w:spacing w:after="0" w:line="25" w:lineRule="exact"/>
        <w:rPr>
          <w:sz w:val="20"/>
          <w:szCs w:val="20"/>
          <w:color w:val="auto"/>
        </w:rPr>
      </w:pPr>
    </w:p>
    <w:p>
      <w:pPr>
        <w:ind w:left="1640"/>
        <w:spacing w:after="0"/>
        <w:tabs>
          <w:tab w:leader="none" w:pos="206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2" w:lineRule="exact"/>
        <w:rPr>
          <w:sz w:val="20"/>
          <w:szCs w:val="20"/>
          <w:color w:val="auto"/>
        </w:rPr>
      </w:pPr>
    </w:p>
    <w:p>
      <w:pPr>
        <w:jc w:val="both"/>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does hereby constitute and appoint Ms. Haimei Wu as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and sign any registration statement for the same offerings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her substitute, may lawfully do or cause to be done by virtue hereof.</w:t>
      </w:r>
    </w:p>
    <w:p>
      <w:pPr>
        <w:spacing w:after="0" w:line="269" w:lineRule="exact"/>
        <w:rPr>
          <w:sz w:val="20"/>
          <w:szCs w:val="20"/>
          <w:color w:val="auto"/>
        </w:rPr>
      </w:pPr>
    </w:p>
    <w:p>
      <w:pPr>
        <w:jc w:val="both"/>
        <w:ind w:left="1360" w:right="1379" w:firstLine="276"/>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on May 22, 2026.</w:t>
      </w:r>
    </w:p>
    <w:p>
      <w:pPr>
        <w:spacing w:after="0" w:line="82" w:lineRule="exact"/>
        <w:rPr>
          <w:sz w:val="20"/>
          <w:szCs w:val="20"/>
          <w:color w:val="auto"/>
        </w:rPr>
      </w:pPr>
    </w:p>
    <w:tbl>
      <w:tblPr>
        <w:tblLayout w:type="fixed"/>
        <w:tblInd w:w="136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00" w:type="dxa"/>
            <w:vAlign w:val="bottom"/>
            <w:tcBorders>
              <w:bottom w:val="single" w:sz="8" w:color="auto"/>
            </w:tcBorders>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34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2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Haimei Wu</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and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Haimei Wu</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Jie Li</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Acting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Jie Li</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 Hou</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 Hou</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1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Quan Qiu</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Quan Qiu</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1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Joseph Douglas Ragan III</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Joseph Douglas Ragan III</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1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Michael Mingzhao Xing</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04" w:right="1440" w:bottom="1440" w:gutter="0" w:footer="0" w:header="0"/>
        </w:sectPr>
      </w:pPr>
    </w:p>
    <w:p>
      <w:pPr>
        <w:ind w:left="5300"/>
        <w:spacing w:after="0" w:line="182" w:lineRule="auto"/>
        <w:rPr>
          <w:sz w:val="20"/>
          <w:szCs w:val="20"/>
          <w:color w:val="auto"/>
        </w:rPr>
      </w:pPr>
      <w:r>
        <w:rPr>
          <w:rFonts w:ascii="Times New Roman" w:cs="Times New Roman" w:eastAsia="Times New Roman" w:hAnsi="Times New Roman"/>
          <w:sz w:val="13"/>
          <w:szCs w:val="13"/>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-45720</wp:posOffset>
            </wp:positionV>
            <wp:extent cx="168084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680845"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p>
      <w:pPr>
        <w:ind w:left="1360"/>
        <w:spacing w:after="0" w:line="185" w:lineRule="auto"/>
        <w:rPr>
          <w:sz w:val="20"/>
          <w:szCs w:val="20"/>
          <w:color w:val="auto"/>
        </w:rPr>
      </w:pPr>
      <w:r>
        <w:rPr>
          <w:rFonts w:ascii="Times New Roman" w:cs="Times New Roman" w:eastAsia="Times New Roman" w:hAnsi="Times New Roman"/>
          <w:sz w:val="14"/>
          <w:szCs w:val="14"/>
          <w:color w:val="auto"/>
        </w:rPr>
        <w:t>Michael Mingzhao Xing</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65" w:name="page66"/>
    <w:bookmarkEnd w:id="6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20" w:type="dxa"/>
            <w:vAlign w:val="bottom"/>
            <w:tcBorders>
              <w:bottom w:val="single" w:sz="8" w:color="auto"/>
            </w:tcBorders>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15"/>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Lijian Xu</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Independent 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1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Lijian Xu</w:t>
            </w: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1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4"/>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Gabrielle Bilciu-Wolfson</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Independent 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1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spacing w:after="0"/>
        <w:rPr>
          <w:sz w:val="20"/>
          <w:szCs w:val="20"/>
          <w:color w:val="auto"/>
        </w:rPr>
      </w:pPr>
      <w:r>
        <w:rPr>
          <w:rFonts w:ascii="Times New Roman" w:cs="Times New Roman" w:eastAsia="Times New Roman" w:hAnsi="Times New Roman"/>
          <w:sz w:val="14"/>
          <w:szCs w:val="14"/>
          <w:color w:val="auto"/>
        </w:rPr>
        <w:t>Gabrielle Bilciu-Wolfson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6" w:name="page67"/>
    <w:bookmarkEnd w:id="6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REPRESENTATIVE IN THE UNITED STATES</w:t>
      </w:r>
    </w:p>
    <w:p>
      <w:pPr>
        <w:spacing w:after="0" w:line="122" w:lineRule="exact"/>
        <w:rPr>
          <w:sz w:val="20"/>
          <w:szCs w:val="20"/>
          <w:color w:val="auto"/>
        </w:rPr>
      </w:pPr>
    </w:p>
    <w:p>
      <w:pPr>
        <w:jc w:val="both"/>
        <w:ind w:left="1360" w:right="1379" w:firstLine="276"/>
        <w:spacing w:after="0" w:line="259" w:lineRule="auto"/>
        <w:rPr>
          <w:sz w:val="20"/>
          <w:szCs w:val="20"/>
          <w:color w:val="auto"/>
        </w:rPr>
      </w:pPr>
      <w:r>
        <w:rPr>
          <w:rFonts w:ascii="Times New Roman" w:cs="Times New Roman" w:eastAsia="Times New Roman" w:hAnsi="Times New Roman"/>
          <w:sz w:val="14"/>
          <w:szCs w:val="14"/>
          <w:color w:val="auto"/>
        </w:rPr>
        <w:t>Pursuant to the Securities Act of 1933, as amended, the undersigned, the duly authorized representative in the United States of Baird Medical Investment Holdings Limited, has signed this registration statement or amendment thereto in Newark, Delaware on May 22, 2026.</w:t>
      </w:r>
    </w:p>
    <w:p>
      <w:pPr>
        <w:spacing w:after="0" w:line="8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Authorized U.S. Representative</w:t>
      </w:r>
    </w:p>
    <w:p>
      <w:pPr>
        <w:spacing w:after="0" w:line="1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30480</wp:posOffset>
            </wp:positionV>
            <wp:extent cx="157607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576070" cy="6350"/>
                    </a:xfrm>
                    <a:prstGeom prst="rect">
                      <a:avLst/>
                    </a:prstGeom>
                    <a:noFill/>
                  </pic:spPr>
                </pic:pic>
              </a:graphicData>
            </a:graphic>
          </wp:anchor>
        </w:drawing>
      </w:r>
    </w:p>
    <w:p>
      <w:pPr>
        <w:spacing w:after="0" w:line="8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Name: Donald J. Puglisi</w:t>
      </w:r>
    </w:p>
    <w:p>
      <w:pPr>
        <w:spacing w:after="0" w:line="25" w:lineRule="exact"/>
        <w:rPr>
          <w:sz w:val="20"/>
          <w:szCs w:val="20"/>
          <w:color w:val="auto"/>
        </w:rPr>
      </w:pPr>
    </w:p>
    <w:p>
      <w:pPr>
        <w:ind w:left="1640"/>
        <w:spacing w:after="0"/>
        <w:tabs>
          <w:tab w:leader="none" w:pos="2060" w:val="left"/>
        </w:tabs>
        <w:rPr>
          <w:sz w:val="20"/>
          <w:szCs w:val="20"/>
          <w:color w:val="auto"/>
        </w:rPr>
      </w:pPr>
      <w:r>
        <w:rPr>
          <w:rFonts w:ascii="Times New Roman" w:cs="Times New Roman" w:eastAsia="Times New Roman" w:hAnsi="Times New Roman"/>
          <w:sz w:val="14"/>
          <w:szCs w:val="14"/>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188595</wp:posOffset>
            </wp:positionV>
            <wp:extent cx="523303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523303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114300</wp:posOffset>
            </wp:positionV>
            <wp:extent cx="71647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Baird Medical Investment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118745</wp:posOffset>
            </wp:positionV>
            <wp:extent cx="71647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Dated as of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116205</wp:posOffset>
            </wp:positionV>
            <wp:extent cx="71647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[__________]</w:t>
      </w:r>
    </w:p>
    <w:p>
      <w:pPr>
        <w:spacing w:after="0" w:line="17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116205</wp:posOffset>
            </wp:positionV>
            <wp:extent cx="71647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457200</wp:posOffset>
            </wp:positionV>
            <wp:extent cx="71647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3"/>
        </w:trPr>
        <w:tc>
          <w:tcPr>
            <w:tcW w:w="11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8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30"/>
        </w:trPr>
        <w:tc>
          <w:tcPr>
            <w:tcW w:w="1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 DEFINITIONS AND INCORPORATION BY REFERENCE</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1.1</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Definitions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1.2</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Definitions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1.3</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1.4</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Rules of Construction</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shd w:val="clear" w:color="auto" w:fill="CCEEFF"/>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SECURITIES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Issuable in Series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2.2</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Terms of Series of Securities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2.3</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2.4</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Registrar and Paying Agent</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2.5</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2.6</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Securityholder Lists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2.7</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 and Exchange</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2.8</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2.9</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Securities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2.10</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Securities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2.11</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Temporary Securities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2.12</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Cancellation</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2.13</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Defaulted Interest</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2.14</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Global Securities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2.15</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CUSIP Numbers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shd w:val="clear" w:color="auto" w:fill="CCEEFF"/>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3.1</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to Trustee</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3.2</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3.3</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Redemption</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3.4</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3.5</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3.6</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14"/>
                <w:szCs w:val="14"/>
                <w:color w:val="auto"/>
              </w:rPr>
            </w:pPr>
          </w:p>
        </w:tc>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4.1</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Principal and Interest</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4.2</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 Reports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4.3</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Compliance Certificate</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4.4</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Stay, Extension and Usury Laws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4.5</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Existence</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14"/>
                <w:szCs w:val="14"/>
                <w:color w:val="auto"/>
              </w:rPr>
            </w:pPr>
          </w:p>
        </w:tc>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 SUCCESSORS</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5.1</w:t>
            </w: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When Company May Merge, etc.</w:t>
            </w:r>
          </w:p>
        </w:tc>
        <w:tc>
          <w:tcPr>
            <w:tcW w:w="6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5.2</w:t>
            </w:r>
          </w:p>
        </w:tc>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Successor Corporation Substituted</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5"/>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20" w:type="dxa"/>
            <w:vAlign w:val="bottom"/>
            <w:gridSpan w:val="2"/>
          </w:tcPr>
          <w:p>
            <w:pPr>
              <w:jc w:val="right"/>
              <w:ind w:right="4831"/>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r>
      <w:tr>
        <w:trPr>
          <w:trHeight w:val="183"/>
        </w:trPr>
        <w:tc>
          <w:tcPr>
            <w:tcW w:w="11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420" w:type="dxa"/>
            <w:vAlign w:val="bottom"/>
            <w:gridSpan w:val="2"/>
          </w:tcPr>
          <w:p>
            <w:pPr>
              <w:jc w:val="right"/>
              <w:ind w:right="5211"/>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330"/>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6"/>
        </w:trPr>
        <w:tc>
          <w:tcPr>
            <w:tcW w:w="11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 DEFAULTS AND REMEDIES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Events of Default</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Collection of Indebtedness and Suits for Enforcement by Trustee</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6.4</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6.5</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6.6</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6.7</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Limitation on Suits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6.8</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Unconditional Right of Holders to Receive Principal and Interest</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6.9</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6.10</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6.11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6.12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Control by Holders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6.13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Waiver of Past Defaults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6.14</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Undertaking for Costs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4860" w:type="dxa"/>
            <w:vAlign w:val="bottom"/>
            <w:gridSpan w:val="2"/>
            <w:shd w:val="clear" w:color="auto" w:fill="CCEEFF"/>
          </w:tcPr>
          <w:p>
            <w:pPr>
              <w:spacing w:after="0"/>
              <w:rPr>
                <w:sz w:val="14"/>
                <w:szCs w:val="14"/>
                <w:color w:val="auto"/>
              </w:rPr>
            </w:pPr>
          </w:p>
        </w:tc>
        <w:tc>
          <w:tcPr>
            <w:tcW w:w="5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65"/>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TRUSTEE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112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Duties of Trustee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7.2</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Rights of Trustee</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7.3</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Force Majeure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7.4</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7.5</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Trustee’s Disclaimer</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7.6</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Notice of Defaults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7.7</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7.8</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7.9</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Replacement of Trustee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7.10</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7.11</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7.12</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4860" w:type="dxa"/>
            <w:vAlign w:val="bottom"/>
            <w:gridSpan w:val="2"/>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8.1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Trust Funds; Indemnification</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8.3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Legal Defeasance of Securities of any Series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8.4</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Covenant Defeasance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8.5</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to Company</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4860" w:type="dxa"/>
            <w:vAlign w:val="bottom"/>
            <w:gridSpan w:val="2"/>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ARTICLE IX SUPPLEMENTAL INDENTURES, AMENDMENTS AND WAIVERS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Consent of Holders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Limitations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9.4</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9.5</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9.6</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9.7</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Trustee Protected</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4860" w:type="dxa"/>
            <w:vAlign w:val="bottom"/>
            <w:gridSpan w:val="2"/>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Notices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Communication by Holders with Other Holders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10.4</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10.5</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10.6</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Holidays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10.7</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10.8</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Counterparts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10.9</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Governing Laws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10.10</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10.11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Successors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10.12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Severability</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10.13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Table of Contents, Headings, etc.</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10.14</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 in a Foreign Currency or ECU</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10.15</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Judgment Currency</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4860" w:type="dxa"/>
            <w:vAlign w:val="bottom"/>
            <w:gridSpan w:val="2"/>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 SINKING FUNDS</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5"/>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11.1</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Applicability of Article</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5"/>
        </w:trPr>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11.2</w:t>
            </w: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5"/>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Section 11.3</w:t>
            </w: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Baird Medical Investment Holdings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Baird Medical Investment Holdings Limited, reconciliation and tie between Trust Indenture Act of 1939 and Indenture, dated as of [____]. This reconciliation and tie shall not, for any purpose, be deemed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w w:val="97"/>
              </w:rPr>
              <w:t>to be part of the Indenture.</w:t>
            </w:r>
          </w:p>
        </w:tc>
        <w:tc>
          <w:tcPr>
            <w:tcW w:w="4160" w:type="dxa"/>
            <w:vAlign w:val="bottom"/>
          </w:tcPr>
          <w:p>
            <w:pPr>
              <w:spacing w:after="0"/>
              <w:rPr>
                <w:sz w:val="15"/>
                <w:szCs w:val="15"/>
                <w:color w:val="auto"/>
              </w:rPr>
            </w:pPr>
          </w:p>
        </w:tc>
        <w:tc>
          <w:tcPr>
            <w:tcW w:w="5640" w:type="dxa"/>
            <w:vAlign w:val="bottom"/>
          </w:tcPr>
          <w:p>
            <w:pPr>
              <w:spacing w:after="0"/>
              <w:rPr>
                <w:sz w:val="15"/>
                <w:szCs w:val="15"/>
                <w:color w:val="auto"/>
              </w:rPr>
            </w:pPr>
          </w:p>
        </w:tc>
      </w:tr>
      <w:tr>
        <w:trPr>
          <w:trHeight w:val="304"/>
        </w:trPr>
        <w:tc>
          <w:tcPr>
            <w:tcW w:w="1480" w:type="dxa"/>
            <w:vAlign w:val="bottom"/>
          </w:tcPr>
          <w:p>
            <w:pPr>
              <w:spacing w:after="0"/>
              <w:rPr>
                <w:sz w:val="24"/>
                <w:szCs w:val="2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310(a)(1)</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7.10</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(a)(2)</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7.10</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(a)(3)</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(a)(4)</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(a)(5)</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7.10</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7.10</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311(a)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7.11</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7.11</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312(a)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10.3</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10.3</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313(a)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(b)(1)</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(b)(2)</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(c)(1)</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(d)</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314(a)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4.2, 10.5</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(c)(1)</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10.4</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(c)(2)</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10.4</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(c)(3)</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(d)</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(e)</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10.5</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(f)</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315(a)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7.5</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(c)</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(d)</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7.1</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(e)</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6.14</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316(a)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2.10</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(a)(1)(A)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6.12</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(a)(1)(B)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6.13</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6.8</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317(a)(1)</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6.3</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(a)(2)</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6.4</w:t>
            </w:r>
          </w:p>
        </w:tc>
      </w:tr>
      <w:tr>
        <w:trPr>
          <w:trHeight w:val="165"/>
        </w:trPr>
        <w:tc>
          <w:tcPr>
            <w:tcW w:w="1480" w:type="dxa"/>
            <w:vAlign w:val="bottom"/>
          </w:tcPr>
          <w:p>
            <w:pPr>
              <w:spacing w:after="0"/>
              <w:rPr>
                <w:sz w:val="14"/>
                <w:szCs w:val="14"/>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2.5</w:t>
            </w:r>
          </w:p>
        </w:tc>
      </w:tr>
      <w:tr>
        <w:trPr>
          <w:trHeight w:val="179"/>
        </w:trPr>
        <w:tc>
          <w:tcPr>
            <w:tcW w:w="1480" w:type="dxa"/>
            <w:vAlign w:val="bottom"/>
          </w:tcPr>
          <w:p>
            <w:pPr>
              <w:spacing w:after="0"/>
              <w:rPr>
                <w:sz w:val="15"/>
                <w:szCs w:val="15"/>
                <w:color w:val="auto"/>
              </w:rPr>
            </w:pPr>
          </w:p>
        </w:tc>
        <w:tc>
          <w:tcPr>
            <w:tcW w:w="416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 318(a)</w:t>
            </w:r>
          </w:p>
        </w:tc>
        <w:tc>
          <w:tcPr>
            <w:tcW w:w="5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10.1</w:t>
            </w:r>
          </w:p>
        </w:tc>
      </w:tr>
      <w:tr>
        <w:trPr>
          <w:trHeight w:val="314"/>
        </w:trPr>
        <w:tc>
          <w:tcPr>
            <w:tcW w:w="1128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Indenture dated as of [____] between Baird Medical Investment Holdings Limited, an exempted company incorporated with limited liability under the laws of the Cayman Islands (the</w:t>
            </w:r>
          </w:p>
        </w:tc>
      </w:tr>
      <w:tr>
        <w:trPr>
          <w:trHeight w:val="18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w:t>
            </w:r>
          </w:p>
        </w:tc>
        <w:tc>
          <w:tcPr>
            <w:tcW w:w="4160" w:type="dxa"/>
            <w:vAlign w:val="bottom"/>
          </w:tcPr>
          <w:p>
            <w:pPr>
              <w:jc w:val="right"/>
              <w:ind w:right="2551"/>
              <w:spacing w:after="0"/>
              <w:rPr>
                <w:sz w:val="20"/>
                <w:szCs w:val="20"/>
                <w:color w:val="auto"/>
              </w:rPr>
            </w:pPr>
            <w:r>
              <w:rPr>
                <w:rFonts w:ascii="Times New Roman" w:cs="Times New Roman" w:eastAsia="Times New Roman" w:hAnsi="Times New Roman"/>
                <w:sz w:val="14"/>
                <w:szCs w:val="14"/>
                <w:color w:val="auto"/>
                <w:w w:val="97"/>
              </w:rPr>
              <w:t>], as trustee (the “</w:t>
            </w:r>
            <w:r>
              <w:rPr>
                <w:rFonts w:ascii="Times New Roman" w:cs="Times New Roman" w:eastAsia="Times New Roman" w:hAnsi="Times New Roman"/>
                <w:sz w:val="14"/>
                <w:szCs w:val="14"/>
                <w:i w:val="1"/>
                <w:iCs w:val="1"/>
                <w:color w:val="auto"/>
                <w:w w:val="97"/>
              </w:rPr>
              <w:t>Trustee</w:t>
            </w:r>
            <w:r>
              <w:rPr>
                <w:rFonts w:ascii="Times New Roman" w:cs="Times New Roman" w:eastAsia="Times New Roman" w:hAnsi="Times New Roman"/>
                <w:sz w:val="14"/>
                <w:szCs w:val="14"/>
                <w:color w:val="auto"/>
                <w:w w:val="97"/>
              </w:rPr>
              <w:t>”).</w:t>
            </w:r>
          </w:p>
        </w:tc>
        <w:tc>
          <w:tcPr>
            <w:tcW w:w="5640" w:type="dxa"/>
            <w:vAlign w:val="bottom"/>
          </w:tcPr>
          <w:p>
            <w:pPr>
              <w:spacing w:after="0"/>
              <w:rPr>
                <w:sz w:val="15"/>
                <w:szCs w:val="15"/>
                <w:color w:val="auto"/>
              </w:rPr>
            </w:pPr>
          </w:p>
        </w:tc>
      </w:tr>
    </w:tbl>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Securities issued under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71647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INCORPORATION BY REFERENCE</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p>
    <w:p>
      <w:pPr>
        <w:spacing w:after="0" w:line="166"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Additional Amounts</w:t>
      </w:r>
      <w:r>
        <w:rPr>
          <w:rFonts w:ascii="Times New Roman" w:cs="Times New Roman" w:eastAsia="Times New Roman" w:hAnsi="Times New Roman"/>
          <w:sz w:val="14"/>
          <w:szCs w:val="14"/>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2" w:lineRule="exact"/>
        <w:rPr>
          <w:sz w:val="20"/>
          <w:szCs w:val="20"/>
          <w:color w:val="auto"/>
        </w:rPr>
      </w:pPr>
    </w:p>
    <w:p>
      <w:pPr>
        <w:jc w:val="both"/>
        <w:ind w:firstLine="745"/>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means any Registrar, Paying Agent or Notice Agent.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the board of directors of the Company or any duly authorized committee thereof.</w:t>
      </w:r>
    </w:p>
    <w:p>
      <w:pPr>
        <w:spacing w:after="0" w:line="170"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2"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any and all shares, interests, participations, rights or other equivalents (however designated) of corporate stock.</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means the party named as such above until a successor replaces it and thereafter means the successor.</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2" w:name="page73"/>
    <w:bookmarkEnd w:id="72"/>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Order</w:t>
      </w:r>
      <w:r>
        <w:rPr>
          <w:rFonts w:ascii="Times New Roman" w:cs="Times New Roman" w:eastAsia="Times New Roman" w:hAnsi="Times New Roman"/>
          <w:sz w:val="14"/>
          <w:szCs w:val="14"/>
          <w:color w:val="auto"/>
        </w:rPr>
        <w:t>” means written order signed in the name of the Company by two Officers, one of whom must be the Company’s principal executive officer, principal financial officer or principal accounting officer.</w:t>
      </w:r>
    </w:p>
    <w:p>
      <w:pPr>
        <w:spacing w:after="0" w:line="122"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Request</w:t>
      </w:r>
      <w:r>
        <w:rPr>
          <w:rFonts w:ascii="Times New Roman" w:cs="Times New Roman" w:eastAsia="Times New Roman" w:hAnsi="Times New Roman"/>
          <w:sz w:val="14"/>
          <w:szCs w:val="14"/>
          <w:color w:val="auto"/>
        </w:rPr>
        <w:t>” means a written request signed in the name of the Company by its Chairman/Chairwoman, its chief executive officer, or its president and by its chief financial officer and delivered to the Trustee.</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which is, or after notice or passage of time or both would be, an Event of Default.</w:t>
      </w:r>
    </w:p>
    <w:p>
      <w:pPr>
        <w:spacing w:after="0" w:line="170" w:lineRule="exact"/>
        <w:rPr>
          <w:sz w:val="20"/>
          <w:szCs w:val="20"/>
          <w:color w:val="auto"/>
        </w:rPr>
      </w:pPr>
    </w:p>
    <w:p>
      <w:pPr>
        <w:jc w:val="both"/>
        <w:ind w:firstLine="745"/>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35"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 Security</w:t>
      </w:r>
      <w:r>
        <w:rPr>
          <w:rFonts w:ascii="Times New Roman" w:cs="Times New Roman" w:eastAsia="Times New Roman" w:hAnsi="Times New Roman"/>
          <w:sz w:val="14"/>
          <w:szCs w:val="14"/>
          <w:color w:val="auto"/>
        </w:rPr>
        <w:t>” means any Security that provides for an amount less than the stated principal amount thereof to be due and payable upon declaration of acceleration of the maturity thereof pursuant to Section 6.2.</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means the currency of The United States of America.</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ECU</w:t>
      </w:r>
      <w:r>
        <w:rPr>
          <w:rFonts w:ascii="Times New Roman" w:cs="Times New Roman" w:eastAsia="Times New Roman" w:hAnsi="Times New Roman"/>
          <w:sz w:val="14"/>
          <w:szCs w:val="14"/>
          <w:color w:val="auto"/>
        </w:rPr>
        <w:t>” means the European Currency Unit as determined by the Commission of the European Union.</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Currency</w:t>
      </w:r>
      <w:r>
        <w:rPr>
          <w:rFonts w:ascii="Times New Roman" w:cs="Times New Roman" w:eastAsia="Times New Roman" w:hAnsi="Times New Roman"/>
          <w:sz w:val="14"/>
          <w:szCs w:val="14"/>
          <w:color w:val="auto"/>
        </w:rPr>
        <w:t>” means any currency or currency unit issued by a government other than the government of The United States of America.</w:t>
      </w:r>
    </w:p>
    <w:p>
      <w:pPr>
        <w:spacing w:after="0" w:line="170" w:lineRule="exact"/>
        <w:rPr>
          <w:sz w:val="20"/>
          <w:szCs w:val="20"/>
          <w:color w:val="auto"/>
        </w:rPr>
      </w:pPr>
    </w:p>
    <w:p>
      <w:pPr>
        <w:jc w:val="both"/>
        <w:ind w:firstLine="745"/>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Government Obligations</w:t>
      </w:r>
      <w:r>
        <w:rPr>
          <w:rFonts w:ascii="Times New Roman" w:cs="Times New Roman" w:eastAsia="Times New Roman" w:hAnsi="Times New Roman"/>
          <w:sz w:val="14"/>
          <w:szCs w:val="14"/>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38" w:lineRule="exact"/>
        <w:rPr>
          <w:sz w:val="20"/>
          <w:szCs w:val="20"/>
          <w:color w:val="auto"/>
        </w:rPr>
      </w:pPr>
    </w:p>
    <w:p>
      <w:pPr>
        <w:jc w:val="both"/>
        <w:ind w:firstLine="74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“GAAP” </w:t>
      </w:r>
      <w:r>
        <w:rPr>
          <w:rFonts w:ascii="Times New Roman" w:cs="Times New Roman" w:eastAsia="Times New Roman" w:hAnsi="Times New Roman"/>
          <w:sz w:val="14"/>
          <w:szCs w:val="14"/>
          <w:color w:val="auto"/>
        </w:rPr>
        <w:t>means accounting principles generally accepted in the United States of America set forth in the opinions and pronouncements of the Accounting Principles Board of the American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3" w:name="page74"/>
    <w:bookmarkEnd w:id="73"/>
    <w:p>
      <w:pPr>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Global Securities</w:t>
      </w:r>
      <w:r>
        <w:rPr>
          <w:rFonts w:ascii="Times New Roman" w:cs="Times New Roman" w:eastAsia="Times New Roman" w:hAnsi="Times New Roman"/>
          <w:sz w:val="14"/>
          <w:szCs w:val="14"/>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Securityholder</w:t>
      </w:r>
      <w:r>
        <w:rPr>
          <w:rFonts w:ascii="Times New Roman" w:cs="Times New Roman" w:eastAsia="Times New Roman" w:hAnsi="Times New Roman"/>
          <w:sz w:val="14"/>
          <w:szCs w:val="14"/>
          <w:color w:val="auto"/>
        </w:rPr>
        <w:t>” means a person in whose name a Security is registered.</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 means this Indenture as amended or supplemented from time to time and shall include the form and terms of particular Series of Securities established as contemplated hereunder.</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with respect to any Discount Security which by its terms bears interest only after Maturity, means interest payable after Maturity.</w:t>
      </w:r>
    </w:p>
    <w:p>
      <w:pPr>
        <w:spacing w:after="0" w:line="170" w:lineRule="exact"/>
        <w:rPr>
          <w:sz w:val="20"/>
          <w:szCs w:val="20"/>
          <w:color w:val="auto"/>
        </w:rPr>
      </w:pPr>
    </w:p>
    <w:p>
      <w:pPr>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means the chief executive officer, president, the chief financial officer, the treasurer or any assistant treasurer, general manager, and any vice president of the Company.</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Officer’s Certificate</w:t>
      </w:r>
      <w:r>
        <w:rPr>
          <w:rFonts w:ascii="Times New Roman" w:cs="Times New Roman" w:eastAsia="Times New Roman" w:hAnsi="Times New Roman"/>
          <w:sz w:val="13"/>
          <w:szCs w:val="13"/>
          <w:color w:val="auto"/>
        </w:rPr>
        <w:t>” means a certificate signed by two Officers, one of whom must be the Company’s principal executive officer, principal financial officer or principal accounting officer.</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of legal counsel, which opinion, is acceptable to the Trustee. The counsel may be an employee of or counsel to the Company.</w:t>
      </w:r>
    </w:p>
    <w:p>
      <w:pPr>
        <w:spacing w:after="0" w:line="170" w:lineRule="exact"/>
        <w:rPr>
          <w:sz w:val="20"/>
          <w:szCs w:val="20"/>
          <w:color w:val="auto"/>
        </w:rPr>
      </w:pPr>
    </w:p>
    <w:p>
      <w:pPr>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partnership, joint venture, association, limited liability company, joint-stock company, trust, unincorporated organization or government or any agency or political subdivision thereof.</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Responsible Officer</w:t>
      </w:r>
      <w:r>
        <w:rPr>
          <w:rFonts w:ascii="Times New Roman" w:cs="Times New Roman" w:eastAsia="Times New Roman" w:hAnsi="Times New Roman"/>
          <w:sz w:val="14"/>
          <w:szCs w:val="14"/>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1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means the Securities and Exchange Commission.</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w:t>
      </w:r>
      <w:r>
        <w:rPr>
          <w:rFonts w:ascii="Times New Roman" w:cs="Times New Roman" w:eastAsia="Times New Roman" w:hAnsi="Times New Roman"/>
          <w:sz w:val="14"/>
          <w:szCs w:val="14"/>
          <w:color w:val="auto"/>
        </w:rPr>
        <w:t>” means the debentures, notes or other debt instruments of the Company of any Series authenticated and delivered under this Indenture.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4" w:name="page75"/>
    <w:bookmarkEnd w:id="74"/>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Series of Securities</w:t>
      </w:r>
      <w:r>
        <w:rPr>
          <w:rFonts w:ascii="Times New Roman" w:cs="Times New Roman" w:eastAsia="Times New Roman" w:hAnsi="Times New Roman"/>
          <w:sz w:val="14"/>
          <w:szCs w:val="14"/>
          <w:color w:val="auto"/>
        </w:rPr>
        <w:t>” means each series of debentures, notes or other debt instruments of the Company created pursuant to Sections 2.1 and 2.2 hereof.</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Stated Maturity</w:t>
      </w:r>
      <w:r>
        <w:rPr>
          <w:rFonts w:ascii="Times New Roman" w:cs="Times New Roman" w:eastAsia="Times New Roman" w:hAnsi="Times New Roman"/>
          <w:sz w:val="14"/>
          <w:szCs w:val="14"/>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ind w:firstLine="745"/>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35"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TIA</w:t>
      </w:r>
      <w:r>
        <w:rPr>
          <w:rFonts w:ascii="Times New Roman" w:cs="Times New Roman" w:eastAsia="Times New Roman" w:hAnsi="Times New Roman"/>
          <w:sz w:val="14"/>
          <w:szCs w:val="14"/>
          <w:color w:val="auto"/>
        </w:rPr>
        <w:t xml:space="preserve">” means the Trust Indenture Act of 1939 (15 U.S. Code §§ 77aaa-77bbbb) as in effect on the date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the Trust Indenture Act of 1939 is amended after such date, “TIA” means, to the extent required by any such amendment, the Trust Indenture Act as so amended.</w:t>
      </w:r>
    </w:p>
    <w:p>
      <w:pPr>
        <w:spacing w:after="0" w:line="122" w:lineRule="exact"/>
        <w:rPr>
          <w:sz w:val="20"/>
          <w:szCs w:val="20"/>
          <w:color w:val="auto"/>
        </w:rPr>
      </w:pPr>
    </w:p>
    <w:p>
      <w:pPr>
        <w:jc w:val="both"/>
        <w:ind w:firstLine="745"/>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Government Obligations</w:t>
      </w:r>
      <w:r>
        <w:rPr>
          <w:rFonts w:ascii="Times New Roman" w:cs="Times New Roman" w:eastAsia="Times New Roman" w:hAnsi="Times New Roman"/>
          <w:sz w:val="14"/>
          <w:szCs w:val="14"/>
          <w:color w:val="auto"/>
        </w:rPr>
        <w:t>” means securities which are (i) direct obligations of The United States of America for the payment of which its full faith and credit is pledged or</w:t>
      </w:r>
    </w:p>
    <w:p>
      <w:pPr>
        <w:spacing w:after="0" w:line="22" w:lineRule="exact"/>
        <w:rPr>
          <w:sz w:val="20"/>
          <w:szCs w:val="20"/>
          <w:color w:val="auto"/>
        </w:rPr>
      </w:pPr>
    </w:p>
    <w:p>
      <w:pPr>
        <w:jc w:val="both"/>
        <w:ind w:firstLine="3"/>
        <w:spacing w:after="0" w:line="248" w:lineRule="auto"/>
        <w:tabs>
          <w:tab w:leader="none" w:pos="20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Section 1.2 Other Definitions</w:t>
            </w:r>
          </w:p>
        </w:tc>
        <w:tc>
          <w:tcPr>
            <w:tcW w:w="2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52"/>
        </w:trPr>
        <w:tc>
          <w:tcPr>
            <w:tcW w:w="5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TERM</w:t>
            </w:r>
          </w:p>
        </w:tc>
        <w:tc>
          <w:tcPr>
            <w:tcW w:w="200" w:type="dxa"/>
            <w:vAlign w:val="bottom"/>
          </w:tcPr>
          <w:p>
            <w:pPr>
              <w:spacing w:after="0"/>
              <w:rPr>
                <w:sz w:val="24"/>
                <w:szCs w:val="24"/>
                <w:color w:val="auto"/>
              </w:rPr>
            </w:pPr>
          </w:p>
        </w:tc>
        <w:tc>
          <w:tcPr>
            <w:tcW w:w="4960" w:type="dxa"/>
            <w:vAlign w:val="bottom"/>
            <w:tcBorders>
              <w:bottom w:val="single" w:sz="8" w:color="auto"/>
            </w:tcBorders>
          </w:tcPr>
          <w:p>
            <w:pPr>
              <w:jc w:val="right"/>
              <w:ind w:right="1711"/>
              <w:spacing w:after="0"/>
              <w:rPr>
                <w:sz w:val="20"/>
                <w:szCs w:val="20"/>
                <w:color w:val="auto"/>
              </w:rPr>
            </w:pPr>
            <w:r>
              <w:rPr>
                <w:rFonts w:ascii="Times New Roman" w:cs="Times New Roman" w:eastAsia="Times New Roman" w:hAnsi="Times New Roman"/>
                <w:sz w:val="14"/>
                <w:szCs w:val="14"/>
                <w:color w:val="auto"/>
              </w:rPr>
              <w:t>DEFINED IN SECTION</w:t>
            </w:r>
          </w:p>
        </w:tc>
        <w:tc>
          <w:tcPr>
            <w:tcW w:w="640" w:type="dxa"/>
            <w:vAlign w:val="bottom"/>
          </w:tcPr>
          <w:p>
            <w:pPr>
              <w:spacing w:after="0"/>
              <w:rPr>
                <w:sz w:val="24"/>
                <w:szCs w:val="24"/>
                <w:color w:val="auto"/>
              </w:rPr>
            </w:pPr>
          </w:p>
        </w:tc>
      </w:tr>
      <w:tr>
        <w:trPr>
          <w:trHeight w:val="139"/>
        </w:trPr>
        <w:tc>
          <w:tcPr>
            <w:tcW w:w="500" w:type="dxa"/>
            <w:vAlign w:val="bottom"/>
          </w:tcPr>
          <w:p>
            <w:pPr>
              <w:spacing w:after="0"/>
              <w:rPr>
                <w:sz w:val="12"/>
                <w:szCs w:val="12"/>
                <w:color w:val="auto"/>
              </w:rPr>
            </w:pPr>
          </w:p>
        </w:tc>
        <w:tc>
          <w:tcPr>
            <w:tcW w:w="498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9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1"/>
              </w:rPr>
              <w:t>6.1</w:t>
            </w:r>
          </w:p>
        </w:tc>
        <w:tc>
          <w:tcPr>
            <w:tcW w:w="640" w:type="dxa"/>
            <w:vAlign w:val="bottom"/>
          </w:tcPr>
          <w:p>
            <w:pPr>
              <w:spacing w:after="0"/>
              <w:rPr>
                <w:sz w:val="12"/>
                <w:szCs w:val="12"/>
                <w:color w:val="auto"/>
              </w:rPr>
            </w:pPr>
          </w:p>
        </w:tc>
      </w:tr>
      <w:tr>
        <w:trPr>
          <w:trHeight w:val="165"/>
        </w:trPr>
        <w:tc>
          <w:tcPr>
            <w:tcW w:w="50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w:t>
            </w:r>
          </w:p>
        </w:tc>
        <w:tc>
          <w:tcPr>
            <w:tcW w:w="51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w w:val="91"/>
              </w:rPr>
              <w:t>6.1</w:t>
            </w:r>
          </w:p>
        </w:tc>
        <w:tc>
          <w:tcPr>
            <w:tcW w:w="640" w:type="dxa"/>
            <w:vAlign w:val="bottom"/>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w:t>
            </w:r>
          </w:p>
        </w:tc>
        <w:tc>
          <w:tcPr>
            <w:tcW w:w="51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w w:val="91"/>
              </w:rPr>
              <w:t>6.1</w:t>
            </w:r>
          </w:p>
        </w:tc>
        <w:tc>
          <w:tcPr>
            <w:tcW w:w="640" w:type="dxa"/>
            <w:vAlign w:val="bottom"/>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Journal</w:t>
            </w:r>
            <w:r>
              <w:rPr>
                <w:rFonts w:ascii="Times New Roman" w:cs="Times New Roman" w:eastAsia="Times New Roman" w:hAnsi="Times New Roman"/>
                <w:sz w:val="14"/>
                <w:szCs w:val="14"/>
                <w:color w:val="auto"/>
              </w:rPr>
              <w:t>”</w:t>
            </w:r>
          </w:p>
        </w:tc>
        <w:tc>
          <w:tcPr>
            <w:tcW w:w="51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10.15</w:t>
            </w:r>
          </w:p>
        </w:tc>
        <w:tc>
          <w:tcPr>
            <w:tcW w:w="640" w:type="dxa"/>
            <w:vAlign w:val="bottom"/>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w:t>
            </w:r>
          </w:p>
        </w:tc>
        <w:tc>
          <w:tcPr>
            <w:tcW w:w="51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10.16</w:t>
            </w:r>
          </w:p>
        </w:tc>
        <w:tc>
          <w:tcPr>
            <w:tcW w:w="640" w:type="dxa"/>
            <w:vAlign w:val="bottom"/>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Legal Holiday</w:t>
            </w:r>
            <w:r>
              <w:rPr>
                <w:rFonts w:ascii="Times New Roman" w:cs="Times New Roman" w:eastAsia="Times New Roman" w:hAnsi="Times New Roman"/>
                <w:sz w:val="14"/>
                <w:szCs w:val="14"/>
                <w:color w:val="auto"/>
              </w:rPr>
              <w:t>”</w:t>
            </w:r>
          </w:p>
        </w:tc>
        <w:tc>
          <w:tcPr>
            <w:tcW w:w="51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w w:val="97"/>
              </w:rPr>
              <w:t>10.7</w:t>
            </w:r>
          </w:p>
        </w:tc>
        <w:tc>
          <w:tcPr>
            <w:tcW w:w="640" w:type="dxa"/>
            <w:vAlign w:val="bottom"/>
          </w:tcPr>
          <w:p>
            <w:pPr>
              <w:spacing w:after="0"/>
              <w:rPr>
                <w:sz w:val="14"/>
                <w:szCs w:val="14"/>
                <w:color w:val="auto"/>
              </w:rPr>
            </w:pPr>
          </w:p>
        </w:tc>
      </w:tr>
      <w:tr>
        <w:trPr>
          <w:trHeight w:val="183"/>
        </w:trPr>
        <w:tc>
          <w:tcPr>
            <w:tcW w:w="50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w:t>
            </w:r>
          </w:p>
        </w:tc>
        <w:tc>
          <w:tcPr>
            <w:tcW w:w="51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w w:val="97"/>
              </w:rPr>
              <w:t>11.1</w:t>
            </w:r>
          </w:p>
        </w:tc>
        <w:tc>
          <w:tcPr>
            <w:tcW w:w="640" w:type="dxa"/>
            <w:vAlign w:val="bottom"/>
          </w:tcPr>
          <w:p>
            <w:pPr>
              <w:spacing w:after="0"/>
              <w:rPr>
                <w:sz w:val="15"/>
                <w:szCs w:val="15"/>
                <w:color w:val="auto"/>
              </w:rPr>
            </w:pPr>
          </w:p>
        </w:tc>
      </w:tr>
      <w:tr>
        <w:trPr>
          <w:trHeight w:val="496"/>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right"/>
              <w:ind w:right="4851"/>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75" w:name="page76"/>
    <w:bookmarkEnd w:id="75"/>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5180" w:type="dxa"/>
            <w:vAlign w:val="bottom"/>
            <w:gridSpan w:val="2"/>
          </w:tcPr>
          <w:p>
            <w:pPr>
              <w:ind w:left="2300"/>
              <w:spacing w:after="0"/>
              <w:rPr>
                <w:sz w:val="20"/>
                <w:szCs w:val="20"/>
                <w:color w:val="auto"/>
              </w:rPr>
            </w:pPr>
            <w:r>
              <w:rPr>
                <w:rFonts w:ascii="Times New Roman" w:cs="Times New Roman" w:eastAsia="Times New Roman" w:hAnsi="Times New Roman"/>
                <w:sz w:val="14"/>
                <w:szCs w:val="14"/>
                <w:color w:val="auto"/>
              </w:rPr>
              <w:t>TERM</w:t>
            </w:r>
          </w:p>
        </w:tc>
        <w:tc>
          <w:tcPr>
            <w:tcW w:w="49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139"/>
        </w:trPr>
        <w:tc>
          <w:tcPr>
            <w:tcW w:w="498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i w:val="1"/>
                <w:iCs w:val="1"/>
                <w:color w:val="auto"/>
              </w:rPr>
              <w:t>“Market Exchange Rate”</w:t>
            </w:r>
          </w:p>
        </w:tc>
        <w:tc>
          <w:tcPr>
            <w:tcW w:w="200" w:type="dxa"/>
            <w:vAlign w:val="bottom"/>
          </w:tcPr>
          <w:p>
            <w:pPr>
              <w:spacing w:after="0"/>
              <w:rPr>
                <w:sz w:val="12"/>
                <w:szCs w:val="12"/>
                <w:color w:val="auto"/>
              </w:rPr>
            </w:pPr>
          </w:p>
        </w:tc>
        <w:tc>
          <w:tcPr>
            <w:tcW w:w="4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10.15</w:t>
            </w: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2.4</w:t>
            </w: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11.1</w:t>
            </w: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2.4</w:t>
            </w: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2.4</w:t>
            </w: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r>
      <w:tr>
        <w:trPr>
          <w:trHeight w:val="18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5.1</w:t>
            </w:r>
          </w:p>
        </w:tc>
      </w:tr>
    </w:tbl>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Incorporation by Reference of Trust Indenture Act</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 The following TIA terms used in this Indenture have the following meanings: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Commission</w:t>
      </w:r>
      <w:r>
        <w:rPr>
          <w:rFonts w:ascii="Times New Roman" w:cs="Times New Roman" w:eastAsia="Times New Roman" w:hAnsi="Times New Roman"/>
          <w:sz w:val="14"/>
          <w:szCs w:val="14"/>
          <w:color w:val="auto"/>
        </w:rPr>
        <w:t>” means the SEC.</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securities</w:t>
      </w:r>
      <w:r>
        <w:rPr>
          <w:rFonts w:ascii="Times New Roman" w:cs="Times New Roman" w:eastAsia="Times New Roman" w:hAnsi="Times New Roman"/>
          <w:sz w:val="14"/>
          <w:szCs w:val="14"/>
          <w:color w:val="auto"/>
        </w:rPr>
        <w:t>” means the Securities.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security holder</w:t>
      </w:r>
      <w:r>
        <w:rPr>
          <w:rFonts w:ascii="Times New Roman" w:cs="Times New Roman" w:eastAsia="Times New Roman" w:hAnsi="Times New Roman"/>
          <w:sz w:val="14"/>
          <w:szCs w:val="14"/>
          <w:color w:val="auto"/>
        </w:rPr>
        <w:t>” means a Security Holder.</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to be qualified”</w:t>
      </w:r>
      <w:r>
        <w:rPr>
          <w:rFonts w:ascii="Times New Roman" w:cs="Times New Roman" w:eastAsia="Times New Roman" w:hAnsi="Times New Roman"/>
          <w:sz w:val="14"/>
          <w:szCs w:val="14"/>
          <w:color w:val="auto"/>
        </w:rPr>
        <w:t xml:space="preserve"> means this Indenture.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trustee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institutional trustee</w:t>
      </w:r>
      <w:r>
        <w:rPr>
          <w:rFonts w:ascii="Times New Roman" w:cs="Times New Roman" w:eastAsia="Times New Roman" w:hAnsi="Times New Roman"/>
          <w:sz w:val="14"/>
          <w:szCs w:val="14"/>
          <w:color w:val="auto"/>
        </w:rPr>
        <w:t>” means the Trustee.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on the indenture securities means the Company and any successor obligor upon the Securities.</w:t>
      </w:r>
    </w:p>
    <w:p>
      <w:pPr>
        <w:spacing w:after="0" w:line="174"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SEC rule under the TIA and not otherwise defined herein are used herein as so defined.</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Rules of Construction</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70" w:lineRule="exact"/>
        <w:rPr>
          <w:sz w:val="20"/>
          <w:szCs w:val="20"/>
          <w:color w:val="auto"/>
        </w:rPr>
      </w:pPr>
    </w:p>
    <w:p>
      <w:pPr>
        <w:ind w:left="1240" w:hanging="244"/>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69" w:lineRule="exact"/>
        <w:rPr>
          <w:rFonts w:ascii="Times New Roman" w:cs="Times New Roman" w:eastAsia="Times New Roman" w:hAnsi="Times New Roman"/>
          <w:sz w:val="14"/>
          <w:szCs w:val="14"/>
          <w:color w:val="auto"/>
        </w:rPr>
      </w:pPr>
    </w:p>
    <w:p>
      <w:pPr>
        <w:ind w:left="1240" w:hanging="244"/>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65" w:lineRule="exact"/>
        <w:rPr>
          <w:rFonts w:ascii="Times New Roman" w:cs="Times New Roman" w:eastAsia="Times New Roman" w:hAnsi="Times New Roman"/>
          <w:sz w:val="14"/>
          <w:szCs w:val="14"/>
          <w:color w:val="auto"/>
        </w:rPr>
      </w:pPr>
    </w:p>
    <w:p>
      <w:pPr>
        <w:ind w:left="1240" w:hanging="244"/>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173" w:lineRule="exact"/>
        <w:rPr>
          <w:rFonts w:ascii="Times New Roman" w:cs="Times New Roman" w:eastAsia="Times New Roman" w:hAnsi="Times New Roman"/>
          <w:sz w:val="14"/>
          <w:szCs w:val="14"/>
          <w:color w:val="auto"/>
        </w:rPr>
      </w:pPr>
    </w:p>
    <w:p>
      <w:pPr>
        <w:ind w:left="1240" w:hanging="244"/>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 and</w:t>
      </w:r>
    </w:p>
    <w:p>
      <w:pPr>
        <w:spacing w:after="0" w:line="169" w:lineRule="exact"/>
        <w:rPr>
          <w:rFonts w:ascii="Times New Roman" w:cs="Times New Roman" w:eastAsia="Times New Roman" w:hAnsi="Times New Roman"/>
          <w:sz w:val="14"/>
          <w:szCs w:val="14"/>
          <w:color w:val="auto"/>
        </w:rPr>
      </w:pPr>
    </w:p>
    <w:p>
      <w:pPr>
        <w:ind w:left="1240" w:hanging="244"/>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apply to successive events and transactions.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Issuable in Series</w:t>
      </w:r>
    </w:p>
    <w:p>
      <w:pPr>
        <w:spacing w:after="0" w:line="170" w:lineRule="exact"/>
        <w:rPr>
          <w:sz w:val="20"/>
          <w:szCs w:val="20"/>
          <w:color w:val="auto"/>
        </w:rPr>
      </w:pPr>
    </w:p>
    <w:p>
      <w:pPr>
        <w:ind w:left="740"/>
        <w:spacing w:after="0"/>
        <w:tabs>
          <w:tab w:leader="none" w:pos="7200" w:val="left"/>
        </w:tabs>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w:t>
      </w:r>
      <w:r>
        <w:rPr>
          <w:sz w:val="20"/>
          <w:szCs w:val="20"/>
          <w:color w:val="auto"/>
        </w:rPr>
        <w:tab/>
      </w:r>
      <w:r>
        <w:rPr>
          <w:rFonts w:ascii="Times New Roman" w:cs="Times New Roman" w:eastAsia="Times New Roman" w:hAnsi="Times New Roman"/>
          <w:sz w:val="13"/>
          <w:szCs w:val="13"/>
          <w:color w:val="auto"/>
        </w:rPr>
        <w:t>]. The Securities may be issued in one or more Series. All Securities of a</w:t>
      </w:r>
    </w:p>
    <w:p>
      <w:pPr>
        <w:spacing w:after="0" w:line="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Establishment of Terms of Series of Securities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or Officers’ Certificate, and associated supplemental indenture:</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2.2.1. the title of the Series (which shall distinguish the Securities of that particular Series from the Securities of any other Series);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2.2.2. the price or prices (expressed as a percentage of the principal amount thereof) at which the Securities of the Series will be issued;</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2.2.4. the date or dates on which the principal of the Securities of the Series is payable;</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7" w:name="page78"/>
    <w:bookmarkEnd w:id="77"/>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1"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2.2.7. if applicable, the period or periods within which, the price or prices at which and the terms and conditions upon which the Securities of the Series may be redeemed, in whole or in part, at the option of the Company;</w:t>
      </w:r>
    </w:p>
    <w:p>
      <w:pPr>
        <w:spacing w:after="0" w:line="13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1"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2.2.11. the forms of the Securities of the Series and whether the Securities will be issuable as Global Securities;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78" w:name="page79"/>
    <w:bookmarkEnd w:id="78"/>
    <w:p>
      <w:pPr>
        <w:ind w:left="740"/>
        <w:spacing w:after="0"/>
        <w:rPr>
          <w:sz w:val="20"/>
          <w:szCs w:val="20"/>
          <w:color w:val="auto"/>
        </w:rPr>
      </w:pPr>
      <w:r>
        <w:rPr>
          <w:rFonts w:ascii="Times New Roman" w:cs="Times New Roman" w:eastAsia="Times New Roman" w:hAnsi="Times New Roman"/>
          <w:sz w:val="14"/>
          <w:szCs w:val="14"/>
          <w:color w:val="auto"/>
        </w:rPr>
        <w:t>2.2.17. the provisions, if any, relating to any security provided for the Securities of the Series;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2.2.19. any addition to, or change in the covenants set forth in Articles IV or V which applies to Securities of the Series;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2.2.20. any material income tax considerations applicable;</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2.2.21. if the Securities of the Series are to be convertible into or exchangeable for any securities of any Person (including the Company), the terms and conditions upon which such Securities will be so convertible or exchangeable;</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2.2.22. whether the Securities of the Series are subject to subordination and the terms of such subordination;</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2.2.23. any other terms of the Securities of the Series (which may supplement, modify or delete any provision of this Indenture insofar as it applies to such Series); and</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2.2.24.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Execution and Authentication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Two Officers shall sign the Securities for the Company by manual or facsimile signature.</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3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79" w:name="page80"/>
    <w:bookmarkEnd w:id="79"/>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3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41"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41"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Registrar and Paying Agent</w:t>
      </w:r>
    </w:p>
    <w:p>
      <w:pPr>
        <w:spacing w:after="0" w:line="170" w:lineRule="exact"/>
        <w:rPr>
          <w:sz w:val="20"/>
          <w:szCs w:val="20"/>
          <w:color w:val="auto"/>
        </w:rPr>
      </w:pPr>
    </w:p>
    <w:p>
      <w:pPr>
        <w:jc w:val="both"/>
        <w:ind w:firstLine="745"/>
        <w:spacing w:after="0" w:line="272" w:lineRule="auto"/>
        <w:rPr>
          <w:sz w:val="20"/>
          <w:szCs w:val="20"/>
          <w:color w:val="auto"/>
        </w:rPr>
      </w:pPr>
      <w:r>
        <w:rPr>
          <w:rFonts w:ascii="Times New Roman" w:cs="Times New Roman" w:eastAsia="Times New Roman" w:hAnsi="Times New Roman"/>
          <w:sz w:val="13"/>
          <w:szCs w:val="13"/>
          <w:color w:val="auto"/>
        </w:rPr>
        <w:t>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where Securities of such Series that are convertible or exchangeable may be surrendered for conversion or exchange, as applicable, where Securities of such Series may be surrendered for conversion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0" w:name="page81"/>
    <w:bookmarkEnd w:id="80"/>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Company hereby appoints The Depository Trust Company to act as Depositary with respect to the Securities.</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 xml:space="preserve"> 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Securityholder Lists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Transfer and Exchange</w:t>
      </w:r>
    </w:p>
    <w:p>
      <w:pPr>
        <w:spacing w:after="0" w:line="17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44"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1" w:name="page82"/>
    <w:bookmarkEnd w:id="81"/>
    <w:p>
      <w:pPr>
        <w:jc w:val="both"/>
        <w:ind w:firstLine="496"/>
        <w:spacing w:after="0" w:line="273"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 xml:space="preserve"> 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3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spacing w:after="0" w:line="143"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1"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Outstanding Securities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2" w:name="page83"/>
    <w:bookmarkEnd w:id="82"/>
    <w:p>
      <w:pPr>
        <w:ind w:left="740"/>
        <w:spacing w:after="0"/>
        <w:rPr>
          <w:sz w:val="20"/>
          <w:szCs w:val="20"/>
          <w:color w:val="auto"/>
        </w:rPr>
      </w:pPr>
      <w:r>
        <w:rPr>
          <w:rFonts w:ascii="Times New Roman" w:cs="Times New Roman" w:eastAsia="Times New Roman" w:hAnsi="Times New Roman"/>
          <w:sz w:val="14"/>
          <w:szCs w:val="14"/>
          <w:color w:val="auto"/>
        </w:rPr>
        <w:t>A Security does not cease to be outstanding because the Company or an Affiliate of the Company holds the Security.</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Treasury Securities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4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 xml:space="preserve"> 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2.12 </w:t>
      </w:r>
      <w:r>
        <w:rPr>
          <w:rFonts w:ascii="Times New Roman" w:cs="Times New Roman" w:eastAsia="Times New Roman" w:hAnsi="Times New Roman"/>
          <w:sz w:val="14"/>
          <w:szCs w:val="14"/>
          <w:u w:val="single" w:color="auto"/>
          <w:color w:val="auto"/>
        </w:rPr>
        <w:t>Cancellation</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Defaulted Interest</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3" w:name="page84"/>
    <w:bookmarkEnd w:id="83"/>
    <w:p>
      <w:pPr>
        <w:ind w:left="500"/>
        <w:spacing w:after="0"/>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Global Securities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 xml:space="preserve">2.14.1. </w:t>
      </w:r>
      <w:r>
        <w:rPr>
          <w:rFonts w:ascii="Times New Roman" w:cs="Times New Roman" w:eastAsia="Times New Roman" w:hAnsi="Times New Roman"/>
          <w:sz w:val="14"/>
          <w:szCs w:val="14"/>
          <w:u w:val="single" w:color="auto"/>
          <w:color w:val="auto"/>
        </w:rPr>
        <w:t>Terms of Securities</w:t>
      </w:r>
      <w:r>
        <w:rPr>
          <w:rFonts w:ascii="Times New Roman" w:cs="Times New Roman" w:eastAsia="Times New Roman" w:hAnsi="Times New Roman"/>
          <w:sz w:val="14"/>
          <w:szCs w:val="14"/>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3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 xml:space="preserve">2.14.2.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44"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4"/>
          <w:szCs w:val="14"/>
          <w:color w:val="auto"/>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30" w:lineRule="exact"/>
        <w:rPr>
          <w:sz w:val="20"/>
          <w:szCs w:val="20"/>
          <w:color w:val="auto"/>
        </w:rPr>
      </w:pPr>
    </w:p>
    <w:p>
      <w:pPr>
        <w:jc w:val="both"/>
        <w:ind w:firstLine="496"/>
        <w:spacing w:after="0" w:line="312" w:lineRule="auto"/>
        <w:rPr>
          <w:sz w:val="20"/>
          <w:szCs w:val="20"/>
          <w:color w:val="auto"/>
        </w:rPr>
      </w:pPr>
      <w:r>
        <w:rPr>
          <w:rFonts w:ascii="Times New Roman" w:cs="Times New Roman" w:eastAsia="Times New Roman" w:hAnsi="Times New Roman"/>
          <w:sz w:val="13"/>
          <w:szCs w:val="13"/>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08"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xml:space="preserve">2.14.3. </w:t>
      </w:r>
      <w:r>
        <w:rPr>
          <w:rFonts w:ascii="Times New Roman" w:cs="Times New Roman" w:eastAsia="Times New Roman" w:hAnsi="Times New Roman"/>
          <w:sz w:val="14"/>
          <w:szCs w:val="14"/>
          <w:u w:val="single" w:color="auto"/>
          <w:color w:val="auto"/>
        </w:rPr>
        <w:t>Legend</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17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4" w:name="page85"/>
    <w:bookmarkEnd w:id="84"/>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 xml:space="preserve">2.14.4.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 xml:space="preserve">2.14.5.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 xml:space="preserve">2.14.6. </w:t>
      </w:r>
      <w:r>
        <w:rPr>
          <w:rFonts w:ascii="Times New Roman" w:cs="Times New Roman" w:eastAsia="Times New Roman" w:hAnsi="Times New Roman"/>
          <w:sz w:val="14"/>
          <w:szCs w:val="14"/>
          <w:u w:val="single" w:color="auto"/>
          <w:color w:val="auto"/>
        </w:rPr>
        <w:t>Consents, Declaration and Directions</w:t>
      </w:r>
      <w:r>
        <w:rPr>
          <w:rFonts w:ascii="Times New Roman" w:cs="Times New Roman" w:eastAsia="Times New Roman" w:hAnsi="Times New Roman"/>
          <w:sz w:val="14"/>
          <w:szCs w:val="14"/>
          <w:color w:val="auto"/>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u w:val="single" w:color="auto"/>
          <w:color w:val="auto"/>
        </w:rPr>
        <w:t>CUSIP Numbers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Notice to Trustee</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43" w:lineRule="exact"/>
        <w:rPr>
          <w:sz w:val="20"/>
          <w:szCs w:val="20"/>
          <w:color w:val="auto"/>
        </w:rPr>
      </w:pPr>
    </w:p>
    <w:p>
      <w:pPr>
        <w:jc w:val="both"/>
        <w:ind w:firstLine="496"/>
        <w:spacing w:after="0" w:line="275"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Selection of Securities to be Redeemed</w:t>
      </w:r>
      <w:r>
        <w:rPr>
          <w:rFonts w:ascii="Times New Roman" w:cs="Times New Roman" w:eastAsia="Times New Roman" w:hAnsi="Times New Roman"/>
          <w:sz w:val="13"/>
          <w:szCs w:val="13"/>
          <w:color w:val="auto"/>
        </w:rPr>
        <w:t xml:space="preserve"> 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5" w:name="page86"/>
    <w:bookmarkEnd w:id="85"/>
    <w:p>
      <w:pPr>
        <w:ind w:left="500"/>
        <w:spacing w:after="0"/>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Notice of Redemption</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notice shall identify the Securities of the Series to be redeemed and shall state:</w:t>
      </w:r>
    </w:p>
    <w:p>
      <w:pPr>
        <w:spacing w:after="0" w:line="170" w:lineRule="exact"/>
        <w:rPr>
          <w:sz w:val="20"/>
          <w:szCs w:val="20"/>
          <w:color w:val="auto"/>
        </w:rPr>
      </w:pPr>
    </w:p>
    <w:p>
      <w:pPr>
        <w:ind w:left="1680" w:hanging="188"/>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of the Series called for redemption must be surrendered to the Paying Agent to collect the redemption price;</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interest on Securities of the Series called for redemption ceases to accrue on and after the redemption date;</w:t>
      </w:r>
    </w:p>
    <w:p>
      <w:pPr>
        <w:spacing w:after="0" w:line="169" w:lineRule="exact"/>
        <w:rPr>
          <w:rFonts w:ascii="Times New Roman" w:cs="Times New Roman" w:eastAsia="Times New Roman" w:hAnsi="Times New Roman"/>
          <w:sz w:val="14"/>
          <w:szCs w:val="14"/>
          <w:color w:val="auto"/>
        </w:rPr>
      </w:pPr>
    </w:p>
    <w:p>
      <w:pPr>
        <w:ind w:left="1660" w:hanging="168"/>
        <w:spacing w:after="0"/>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and</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as may be required by the terms of the particular Series or the Securities of a Series being redeemed.</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At the Company’s request, the Trustee shall give the notice of redemption prepared by the Company, in the Company’s name and at its expense.</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Effect of Notice of Redemption</w:t>
      </w:r>
      <w:r>
        <w:rPr>
          <w:rFonts w:ascii="Times New Roman" w:cs="Times New Roman" w:eastAsia="Times New Roman" w:hAnsi="Times New Roman"/>
          <w:sz w:val="14"/>
          <w:szCs w:val="14"/>
          <w:color w:val="auto"/>
        </w:rPr>
        <w:t xml:space="preserve"> 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41"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 xml:space="preserve"> On or before the redemption date, the Company shall deposit with the Paying Agent money sufficient to pay the redemption price of and accrued interest, if any, on all Securities to be redeemed on that date.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Securities Redeemed in Part</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Payment of Principal and Interest</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6" w:name="page87"/>
    <w:bookmarkEnd w:id="86"/>
    <w:p>
      <w:pPr>
        <w:ind w:left="500"/>
        <w:spacing w:after="0"/>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SEC Reports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Compliance Certificate</w:t>
      </w:r>
    </w:p>
    <w:p>
      <w:pPr>
        <w:spacing w:after="0" w:line="17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44"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Stay, Extension and Usury Laws</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Corporate Existence</w:t>
      </w:r>
    </w:p>
    <w:p>
      <w:pPr>
        <w:spacing w:after="0" w:line="170" w:lineRule="exact"/>
        <w:rPr>
          <w:sz w:val="20"/>
          <w:szCs w:val="20"/>
          <w:color w:val="auto"/>
        </w:rPr>
      </w:pPr>
    </w:p>
    <w:p>
      <w:pPr>
        <w:jc w:val="both"/>
        <w:ind w:firstLine="745"/>
        <w:spacing w:after="0" w:line="289" w:lineRule="auto"/>
        <w:rPr>
          <w:sz w:val="20"/>
          <w:szCs w:val="20"/>
          <w:color w:val="auto"/>
        </w:rPr>
      </w:pPr>
      <w:r>
        <w:rPr>
          <w:rFonts w:ascii="Times New Roman" w:cs="Times New Roman" w:eastAsia="Times New Roman" w:hAnsi="Times New Roman"/>
          <w:sz w:val="13"/>
          <w:szCs w:val="13"/>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When Company May Merge, etc.</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 unless:</w:t>
      </w:r>
    </w:p>
    <w:p>
      <w:pPr>
        <w:spacing w:after="0" w:line="174" w:lineRule="exact"/>
        <w:rPr>
          <w:sz w:val="20"/>
          <w:szCs w:val="20"/>
          <w:color w:val="auto"/>
        </w:rPr>
      </w:pPr>
    </w:p>
    <w:p>
      <w:pPr>
        <w:ind w:left="500" w:firstLine="992"/>
        <w:spacing w:after="0" w:line="273" w:lineRule="auto"/>
        <w:tabs>
          <w:tab w:leader="none" w:pos="16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30"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Successor Corporation Substituted</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predecessor Company in the case of a sale, conveyance or other disposition (other than a lease) shall be released from all obligations and covenants under this Indenture and the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DEFAULTS AND REMEDIES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Events of Default</w:t>
      </w:r>
    </w:p>
    <w:p>
      <w:pPr>
        <w:spacing w:after="0" w:line="166"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26" w:lineRule="exact"/>
        <w:rPr>
          <w:sz w:val="20"/>
          <w:szCs w:val="20"/>
          <w:color w:val="auto"/>
        </w:rPr>
      </w:pPr>
    </w:p>
    <w:p>
      <w:pPr>
        <w:ind w:left="500" w:firstLine="992"/>
        <w:spacing w:after="0" w:line="273" w:lineRule="auto"/>
        <w:tabs>
          <w:tab w:leader="none" w:pos="168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30"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 or</w:t>
      </w:r>
    </w:p>
    <w:p>
      <w:pPr>
        <w:spacing w:after="0" w:line="169" w:lineRule="exact"/>
        <w:rPr>
          <w:rFonts w:ascii="Times New Roman" w:cs="Times New Roman" w:eastAsia="Times New Roman" w:hAnsi="Times New Roman"/>
          <w:sz w:val="14"/>
          <w:szCs w:val="14"/>
          <w:color w:val="auto"/>
        </w:rPr>
      </w:pPr>
    </w:p>
    <w:p>
      <w:pPr>
        <w:jc w:val="both"/>
        <w:ind w:left="500" w:firstLine="992"/>
        <w:spacing w:after="0" w:line="255" w:lineRule="auto"/>
        <w:tabs>
          <w:tab w:leader="none" w:pos="16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8" w:name="page89"/>
    <w:bookmarkEnd w:id="88"/>
    <w:p>
      <w:pPr>
        <w:ind w:left="1680" w:hanging="188"/>
        <w:spacing w:after="0"/>
        <w:tabs>
          <w:tab w:leader="none" w:pos="1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pursuant to or within the meaning of any Bankruptcy Law:</w:t>
      </w:r>
    </w:p>
    <w:p>
      <w:pPr>
        <w:spacing w:after="0" w:line="169" w:lineRule="exact"/>
        <w:rPr>
          <w:rFonts w:ascii="Times New Roman" w:cs="Times New Roman" w:eastAsia="Times New Roman" w:hAnsi="Times New Roman"/>
          <w:sz w:val="14"/>
          <w:szCs w:val="14"/>
          <w:color w:val="auto"/>
        </w:rPr>
      </w:pPr>
    </w:p>
    <w:p>
      <w:pPr>
        <w:ind w:left="1900" w:hanging="160"/>
        <w:spacing w:after="0"/>
        <w:tabs>
          <w:tab w:leader="none" w:pos="19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69" w:lineRule="exact"/>
        <w:rPr>
          <w:rFonts w:ascii="Times New Roman" w:cs="Times New Roman" w:eastAsia="Times New Roman" w:hAnsi="Times New Roman"/>
          <w:sz w:val="14"/>
          <w:szCs w:val="14"/>
          <w:color w:val="auto"/>
        </w:rPr>
      </w:pPr>
    </w:p>
    <w:p>
      <w:pPr>
        <w:ind w:left="1940" w:hanging="200"/>
        <w:spacing w:after="0"/>
        <w:tabs>
          <w:tab w:leader="none" w:pos="194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69" w:lineRule="exact"/>
        <w:rPr>
          <w:rFonts w:ascii="Times New Roman" w:cs="Times New Roman" w:eastAsia="Times New Roman" w:hAnsi="Times New Roman"/>
          <w:sz w:val="14"/>
          <w:szCs w:val="14"/>
          <w:color w:val="auto"/>
        </w:rPr>
      </w:pPr>
    </w:p>
    <w:p>
      <w:pPr>
        <w:ind w:left="1980" w:hanging="240"/>
        <w:spacing w:after="0"/>
        <w:tabs>
          <w:tab w:leader="none" w:pos="19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w:t>
      </w:r>
    </w:p>
    <w:p>
      <w:pPr>
        <w:spacing w:after="0" w:line="169" w:lineRule="exact"/>
        <w:rPr>
          <w:rFonts w:ascii="Times New Roman" w:cs="Times New Roman" w:eastAsia="Times New Roman" w:hAnsi="Times New Roman"/>
          <w:sz w:val="14"/>
          <w:szCs w:val="14"/>
          <w:color w:val="auto"/>
        </w:rPr>
      </w:pPr>
    </w:p>
    <w:p>
      <w:pPr>
        <w:ind w:left="1980" w:hanging="240"/>
        <w:spacing w:after="0"/>
        <w:tabs>
          <w:tab w:leader="none" w:pos="19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69" w:lineRule="exact"/>
        <w:rPr>
          <w:rFonts w:ascii="Times New Roman" w:cs="Times New Roman" w:eastAsia="Times New Roman" w:hAnsi="Times New Roman"/>
          <w:sz w:val="14"/>
          <w:szCs w:val="14"/>
          <w:color w:val="auto"/>
        </w:rPr>
      </w:pPr>
    </w:p>
    <w:p>
      <w:pPr>
        <w:ind w:left="1940" w:hanging="200"/>
        <w:spacing w:after="0"/>
        <w:tabs>
          <w:tab w:leader="none" w:pos="194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unable to pay its debts as the same become due; or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169" w:lineRule="exact"/>
        <w:rPr>
          <w:rFonts w:ascii="Times New Roman" w:cs="Times New Roman" w:eastAsia="Times New Roman" w:hAnsi="Times New Roman"/>
          <w:sz w:val="14"/>
          <w:szCs w:val="14"/>
          <w:color w:val="auto"/>
        </w:rPr>
      </w:pPr>
    </w:p>
    <w:p>
      <w:pPr>
        <w:ind w:left="1900" w:hanging="160"/>
        <w:spacing w:after="0"/>
        <w:tabs>
          <w:tab w:leader="none" w:pos="19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in an involuntary case,</w:t>
      </w:r>
    </w:p>
    <w:p>
      <w:pPr>
        <w:spacing w:after="0" w:line="169" w:lineRule="exact"/>
        <w:rPr>
          <w:rFonts w:ascii="Times New Roman" w:cs="Times New Roman" w:eastAsia="Times New Roman" w:hAnsi="Times New Roman"/>
          <w:sz w:val="14"/>
          <w:szCs w:val="14"/>
          <w:color w:val="auto"/>
        </w:rPr>
      </w:pPr>
    </w:p>
    <w:p>
      <w:pPr>
        <w:ind w:left="1940" w:hanging="200"/>
        <w:spacing w:after="0"/>
        <w:tabs>
          <w:tab w:leader="none" w:pos="194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for all or substantially all of its property, or</w:t>
      </w:r>
    </w:p>
    <w:p>
      <w:pPr>
        <w:spacing w:after="0" w:line="169" w:lineRule="exact"/>
        <w:rPr>
          <w:rFonts w:ascii="Times New Roman" w:cs="Times New Roman" w:eastAsia="Times New Roman" w:hAnsi="Times New Roman"/>
          <w:sz w:val="14"/>
          <w:szCs w:val="14"/>
          <w:color w:val="auto"/>
        </w:rPr>
      </w:pPr>
    </w:p>
    <w:p>
      <w:pPr>
        <w:ind w:left="1980" w:hanging="240"/>
        <w:spacing w:after="0"/>
        <w:tabs>
          <w:tab w:leader="none" w:pos="19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days; or</w:t>
      </w:r>
    </w:p>
    <w:p>
      <w:pPr>
        <w:spacing w:after="0" w:line="170" w:lineRule="exact"/>
        <w:rPr>
          <w:sz w:val="20"/>
          <w:szCs w:val="20"/>
          <w:color w:val="auto"/>
        </w:rPr>
      </w:pPr>
    </w:p>
    <w:p>
      <w:pPr>
        <w:ind w:left="500" w:firstLine="992"/>
        <w:spacing w:after="0" w:line="273" w:lineRule="auto"/>
        <w:tabs>
          <w:tab w:leader="none" w:pos="168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Securities of that Series, which is specified in a Board Resolution, a supplemental indenture hereto or an Officers’ Certificate, in accordance with Section 2.2.18.</w:t>
      </w:r>
    </w:p>
    <w:p>
      <w:pPr>
        <w:spacing w:after="0" w:line="126"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 means title 11, U.S. Code or any similar U.S. Federal or State law for the relief of debtors. The term “</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u w:val="single" w:color="auto"/>
          <w:color w:val="auto"/>
        </w:rPr>
        <w:t>Acceleration of Maturity; Rescission and Annulment</w:t>
      </w:r>
    </w:p>
    <w:p>
      <w:pPr>
        <w:spacing w:after="0" w:line="170" w:lineRule="exact"/>
        <w:rPr>
          <w:sz w:val="20"/>
          <w:szCs w:val="20"/>
          <w:color w:val="auto"/>
        </w:rPr>
      </w:pPr>
    </w:p>
    <w:p>
      <w:pPr>
        <w:jc w:val="both"/>
        <w:ind w:firstLine="745"/>
        <w:spacing w:after="0" w:line="251" w:lineRule="auto"/>
        <w:rPr>
          <w:sz w:val="20"/>
          <w:szCs w:val="20"/>
          <w:color w:val="auto"/>
        </w:rPr>
      </w:pPr>
      <w:r>
        <w:rPr>
          <w:rFonts w:ascii="Times New Roman" w:cs="Times New Roman" w:eastAsia="Times New Roman" w:hAnsi="Times New Roman"/>
          <w:sz w:val="14"/>
          <w:szCs w:val="14"/>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4"/>
          <w:szCs w:val="14"/>
          <w:i w:val="1"/>
          <w:iCs w:val="1"/>
          <w:color w:val="auto"/>
        </w:rPr>
        <w:t>ipso facto</w:t>
      </w:r>
      <w:r>
        <w:rPr>
          <w:rFonts w:ascii="Times New Roman" w:cs="Times New Roman" w:eastAsia="Times New Roman" w:hAnsi="Times New Roman"/>
          <w:sz w:val="14"/>
          <w:szCs w:val="14"/>
          <w:color w:val="auto"/>
        </w:rPr>
        <w:t xml:space="preserve"> become and be immediately due and payable without any declaration or other act on the part of the Trustee or any Holder.</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9" w:name="page90"/>
    <w:bookmarkEnd w:id="89"/>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Collection of Indebtedness and Suits for Enforcement by Trustee</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Company covenants that if</w:t>
      </w:r>
    </w:p>
    <w:p>
      <w:pPr>
        <w:spacing w:after="0" w:line="170" w:lineRule="exact"/>
        <w:rPr>
          <w:sz w:val="20"/>
          <w:szCs w:val="20"/>
          <w:color w:val="auto"/>
        </w:rPr>
      </w:pPr>
    </w:p>
    <w:p>
      <w:pPr>
        <w:ind w:left="1680" w:hanging="188"/>
        <w:spacing w:after="0"/>
        <w:tabs>
          <w:tab w:leader="none" w:pos="1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any interest on any Security when such interest becomes due and payable and such default continues for a period of 30 days, or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principal of any Security at the Maturity thereof, or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deposit of any sinking fund payment, when and as due by the terms of a Security,</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then</w:t>
      </w:r>
      <w:r>
        <w:rPr>
          <w:rFonts w:ascii="Times New Roman" w:cs="Times New Roman" w:eastAsia="Times New Roman" w:hAnsi="Times New Roman"/>
          <w:sz w:val="14"/>
          <w:szCs w:val="14"/>
          <w:color w:val="auto"/>
        </w:rPr>
        <w:t>, the Company will, upon demand of the Trustee, pay to it, for the benefit of the Holders of such Securities, the whole amount then due and payable on such Securities for principal and interest and,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reasonable compensation, expenses, disbursements and advances of the Trustee, its agents and counsel.</w:t>
      </w:r>
    </w:p>
    <w:p>
      <w:pPr>
        <w:spacing w:after="0" w:line="142"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1"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0" w:name="page91"/>
    <w:bookmarkEnd w:id="90"/>
    <w:p>
      <w:pPr>
        <w:ind w:left="500"/>
        <w:spacing w:after="0"/>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Trustee May File Proofs of Claim</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43" w:lineRule="exact"/>
        <w:rPr>
          <w:sz w:val="20"/>
          <w:szCs w:val="20"/>
          <w:color w:val="auto"/>
        </w:rPr>
      </w:pPr>
    </w:p>
    <w:p>
      <w:pPr>
        <w:jc w:val="both"/>
        <w:ind w:left="500" w:firstLine="992"/>
        <w:spacing w:after="0" w:line="259" w:lineRule="auto"/>
        <w:tabs>
          <w:tab w:leader="none" w:pos="1687"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0" w:lineRule="exact"/>
        <w:rPr>
          <w:rFonts w:ascii="Times New Roman" w:cs="Times New Roman" w:eastAsia="Times New Roman" w:hAnsi="Times New Roman"/>
          <w:sz w:val="14"/>
          <w:szCs w:val="14"/>
          <w:color w:val="auto"/>
        </w:rPr>
      </w:pPr>
    </w:p>
    <w:p>
      <w:pPr>
        <w:jc w:val="both"/>
        <w:ind w:left="500" w:firstLine="992"/>
        <w:spacing w:after="0" w:line="255" w:lineRule="auto"/>
        <w:tabs>
          <w:tab w:leader="none" w:pos="170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43"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1" w:name="page92"/>
    <w:bookmarkEnd w:id="91"/>
    <w:p>
      <w:pPr>
        <w:ind w:left="500"/>
        <w:spacing w:after="0"/>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u w:val="single" w:color="auto"/>
          <w:color w:val="auto"/>
        </w:rPr>
        <w:t>Application of Money Collected</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7.7; and</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Third: To the Company or to such party as a court of competent jurisdiction shall direct.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Limitation on Suits</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30" w:lineRule="exact"/>
        <w:rPr>
          <w:sz w:val="20"/>
          <w:szCs w:val="20"/>
          <w:color w:val="auto"/>
        </w:rPr>
      </w:pPr>
    </w:p>
    <w:p>
      <w:pPr>
        <w:ind w:left="1680" w:hanging="188"/>
        <w:spacing w:after="0"/>
        <w:tabs>
          <w:tab w:leader="none" w:pos="16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written notice to the Trustee of a continuing Event of Default with respect to the Securities of that Series;</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9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0" w:lineRule="exact"/>
        <w:rPr>
          <w:rFonts w:ascii="Times New Roman" w:cs="Times New Roman" w:eastAsia="Times New Roman" w:hAnsi="Times New Roman"/>
          <w:sz w:val="14"/>
          <w:szCs w:val="14"/>
          <w:color w:val="auto"/>
        </w:rPr>
      </w:pPr>
    </w:p>
    <w:p>
      <w:pPr>
        <w:ind w:left="1700" w:hanging="208"/>
        <w:spacing w:after="0"/>
        <w:tabs>
          <w:tab w:leader="none" w:pos="17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indemnity satisfactory to the Trustee against the costs, expenses and liabilities to be incurred in compliance with such</w:t>
      </w:r>
    </w:p>
    <w:p>
      <w:pPr>
        <w:spacing w:after="0" w:line="1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w:t>
      </w:r>
    </w:p>
    <w:p>
      <w:pPr>
        <w:spacing w:after="0" w:line="156"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60 days after its receipt of such notice, request and offer of indemnity has failed to institute any such proceeding; and</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70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principal amount of the outstanding Securities of that Series;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2" w:name="page93"/>
    <w:bookmarkEnd w:id="92"/>
    <w:p>
      <w:pPr>
        <w:ind w:left="500"/>
        <w:spacing w:after="0"/>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Unconditional Right of Holders to Receive Principal and Interest</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u w:val="single" w:color="auto"/>
          <w:color w:val="auto"/>
        </w:rPr>
        <w:t>Restoration of Rights and Remedies</w:t>
      </w:r>
    </w:p>
    <w:p>
      <w:pPr>
        <w:spacing w:after="0" w:line="170" w:lineRule="exact"/>
        <w:rPr>
          <w:sz w:val="20"/>
          <w:szCs w:val="20"/>
          <w:color w:val="auto"/>
        </w:rPr>
      </w:pPr>
    </w:p>
    <w:p>
      <w:pPr>
        <w:jc w:val="both"/>
        <w:ind w:firstLine="745"/>
        <w:spacing w:after="0" w:line="289"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Rights and Remedies Cumulative</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Delay or Omission Not Waiver</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3" w:name="page94"/>
    <w:bookmarkEnd w:id="93"/>
    <w:p>
      <w:pPr>
        <w:ind w:left="500"/>
        <w:spacing w:after="0"/>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Control by Holders</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0" w:lineRule="exact"/>
        <w:rPr>
          <w:sz w:val="20"/>
          <w:szCs w:val="20"/>
          <w:color w:val="auto"/>
        </w:rPr>
      </w:pPr>
    </w:p>
    <w:p>
      <w:pPr>
        <w:ind w:left="1680" w:hanging="188"/>
        <w:spacing w:after="0"/>
        <w:tabs>
          <w:tab w:leader="none" w:pos="16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direction shall not be in conflict with any rule of law or with this Indenture,</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deemed proper by the Trustee which is not inconsistent with such direction, and</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8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Waiver of Past Defaults</w:t>
      </w:r>
    </w:p>
    <w:p>
      <w:pPr>
        <w:spacing w:after="0" w:line="17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Undertaking for Costs</w:t>
      </w:r>
    </w:p>
    <w:p>
      <w:pPr>
        <w:spacing w:after="0" w:line="170" w:lineRule="exact"/>
        <w:rPr>
          <w:sz w:val="20"/>
          <w:szCs w:val="20"/>
          <w:color w:val="auto"/>
        </w:rPr>
      </w:pPr>
    </w:p>
    <w:p>
      <w:pPr>
        <w:jc w:val="both"/>
        <w:ind w:firstLine="745"/>
        <w:spacing w:after="0" w:line="251"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Duties of Trustee</w:t>
      </w:r>
    </w:p>
    <w:p>
      <w:pPr>
        <w:spacing w:after="0" w:line="170" w:lineRule="exact"/>
        <w:rPr>
          <w:sz w:val="20"/>
          <w:szCs w:val="20"/>
          <w:color w:val="auto"/>
        </w:rPr>
      </w:pPr>
    </w:p>
    <w:p>
      <w:pPr>
        <w:ind w:left="500" w:firstLine="992"/>
        <w:spacing w:after="0" w:line="273" w:lineRule="auto"/>
        <w:tabs>
          <w:tab w:leader="none" w:pos="168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4" w:name="page95"/>
    <w:bookmarkEnd w:id="94"/>
    <w:p>
      <w:pPr>
        <w:ind w:left="1680" w:hanging="188"/>
        <w:spacing w:after="0"/>
        <w:tabs>
          <w:tab w:leader="none" w:pos="1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169" w:lineRule="exact"/>
        <w:rPr>
          <w:rFonts w:ascii="Times New Roman" w:cs="Times New Roman" w:eastAsia="Times New Roman" w:hAnsi="Times New Roman"/>
          <w:sz w:val="14"/>
          <w:szCs w:val="14"/>
          <w:color w:val="auto"/>
        </w:rPr>
      </w:pPr>
    </w:p>
    <w:p>
      <w:pPr>
        <w:ind w:left="1900" w:hanging="160"/>
        <w:spacing w:after="0"/>
        <w:tabs>
          <w:tab w:leader="none" w:pos="19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w:t>
      </w:r>
    </w:p>
    <w:p>
      <w:pPr>
        <w:spacing w:after="0" w:line="169" w:lineRule="exact"/>
        <w:rPr>
          <w:rFonts w:ascii="Times New Roman" w:cs="Times New Roman" w:eastAsia="Times New Roman" w:hAnsi="Times New Roman"/>
          <w:sz w:val="14"/>
          <w:szCs w:val="14"/>
          <w:color w:val="auto"/>
        </w:rPr>
      </w:pPr>
    </w:p>
    <w:p>
      <w:pPr>
        <w:jc w:val="both"/>
        <w:ind w:firstLine="1740"/>
        <w:spacing w:after="0" w:line="255" w:lineRule="auto"/>
        <w:tabs>
          <w:tab w:leader="none" w:pos="195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43"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not be relieved from liability for its own negligent action, its own negligent failure to act or its own willful misconduct, except that:</w:t>
      </w:r>
    </w:p>
    <w:p>
      <w:pPr>
        <w:spacing w:after="0" w:line="169" w:lineRule="exact"/>
        <w:rPr>
          <w:rFonts w:ascii="Times New Roman" w:cs="Times New Roman" w:eastAsia="Times New Roman" w:hAnsi="Times New Roman"/>
          <w:sz w:val="14"/>
          <w:szCs w:val="14"/>
          <w:color w:val="auto"/>
        </w:rPr>
      </w:pPr>
    </w:p>
    <w:p>
      <w:pPr>
        <w:ind w:left="1900" w:hanging="160"/>
        <w:spacing w:after="0"/>
        <w:tabs>
          <w:tab w:leader="none" w:pos="19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does not limit the effect of paragraph (b) of this Section.</w:t>
      </w:r>
    </w:p>
    <w:p>
      <w:pPr>
        <w:spacing w:after="0" w:line="169" w:lineRule="exact"/>
        <w:rPr>
          <w:rFonts w:ascii="Times New Roman" w:cs="Times New Roman" w:eastAsia="Times New Roman" w:hAnsi="Times New Roman"/>
          <w:sz w:val="14"/>
          <w:szCs w:val="14"/>
          <w:color w:val="auto"/>
        </w:rPr>
      </w:pPr>
    </w:p>
    <w:p>
      <w:pPr>
        <w:ind w:left="1940" w:hanging="200"/>
        <w:spacing w:after="0"/>
        <w:tabs>
          <w:tab w:leader="none" w:pos="194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proved that the Trustee was negligent in ascertaining</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pertinent facts.</w:t>
      </w:r>
    </w:p>
    <w:p>
      <w:pPr>
        <w:spacing w:after="0" w:line="156" w:lineRule="exact"/>
        <w:rPr>
          <w:rFonts w:ascii="Times New Roman" w:cs="Times New Roman" w:eastAsia="Times New Roman" w:hAnsi="Times New Roman"/>
          <w:sz w:val="14"/>
          <w:szCs w:val="14"/>
          <w:color w:val="auto"/>
        </w:rPr>
      </w:pPr>
    </w:p>
    <w:p>
      <w:pPr>
        <w:jc w:val="both"/>
        <w:ind w:firstLine="1740"/>
        <w:spacing w:after="0" w:line="259" w:lineRule="auto"/>
        <w:tabs>
          <w:tab w:leader="none" w:pos="1979"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40" w:lineRule="exact"/>
        <w:rPr>
          <w:rFonts w:ascii="Times New Roman" w:cs="Times New Roman" w:eastAsia="Times New Roman" w:hAnsi="Times New Roman"/>
          <w:sz w:val="14"/>
          <w:szCs w:val="14"/>
          <w:color w:val="auto"/>
        </w:rPr>
      </w:pPr>
    </w:p>
    <w:p>
      <w:pPr>
        <w:ind w:left="1980" w:hanging="240"/>
        <w:spacing w:after="0"/>
        <w:tabs>
          <w:tab w:leader="none" w:pos="198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provision of this Indenture that in any way relates to the Trustee is subject to paragraph (a), (b) and (c) of this Section.</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refuse to perform any duty or exercise any right or power unless it receives security or indemnity satisfactory to it against any loss, liability or expense.</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7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0" w:lineRule="exact"/>
        <w:rPr>
          <w:rFonts w:ascii="Times New Roman" w:cs="Times New Roman" w:eastAsia="Times New Roman" w:hAnsi="Times New Roman"/>
          <w:sz w:val="14"/>
          <w:szCs w:val="14"/>
          <w:color w:val="auto"/>
        </w:rPr>
      </w:pPr>
    </w:p>
    <w:p>
      <w:pPr>
        <w:ind w:left="500" w:firstLine="992"/>
        <w:spacing w:after="0" w:line="273" w:lineRule="auto"/>
        <w:tabs>
          <w:tab w:leader="none" w:pos="166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5" w:name="page96"/>
    <w:bookmarkEnd w:id="95"/>
    <w:p>
      <w:pPr>
        <w:ind w:firstLine="992"/>
        <w:spacing w:after="0" w:line="273" w:lineRule="auto"/>
        <w:tabs>
          <w:tab w:leader="none" w:pos="118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Rights of Trustee</w:t>
      </w:r>
    </w:p>
    <w:p>
      <w:pPr>
        <w:spacing w:after="0" w:line="170" w:lineRule="exact"/>
        <w:rPr>
          <w:sz w:val="20"/>
          <w:szCs w:val="20"/>
          <w:color w:val="auto"/>
        </w:rPr>
      </w:pPr>
    </w:p>
    <w:p>
      <w:pPr>
        <w:ind w:firstLine="992"/>
        <w:spacing w:after="0" w:line="273" w:lineRule="auto"/>
        <w:tabs>
          <w:tab w:leader="none" w:pos="118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30" w:lineRule="exact"/>
        <w:rPr>
          <w:rFonts w:ascii="Times New Roman" w:cs="Times New Roman" w:eastAsia="Times New Roman" w:hAnsi="Times New Roman"/>
          <w:sz w:val="14"/>
          <w:szCs w:val="14"/>
          <w:color w:val="auto"/>
        </w:rPr>
      </w:pPr>
    </w:p>
    <w:p>
      <w:pPr>
        <w:jc w:val="both"/>
        <w:ind w:firstLine="992"/>
        <w:spacing w:after="0" w:line="259" w:lineRule="auto"/>
        <w:tabs>
          <w:tab w:leader="none" w:pos="119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40" w:lineRule="exact"/>
        <w:rPr>
          <w:rFonts w:ascii="Times New Roman" w:cs="Times New Roman" w:eastAsia="Times New Roman" w:hAnsi="Times New Roman"/>
          <w:sz w:val="14"/>
          <w:szCs w:val="14"/>
          <w:color w:val="auto"/>
        </w:rPr>
      </w:pPr>
    </w:p>
    <w:p>
      <w:pPr>
        <w:ind w:firstLine="992"/>
        <w:spacing w:after="0" w:line="273" w:lineRule="auto"/>
        <w:tabs>
          <w:tab w:leader="none" w:pos="118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30" w:lineRule="exact"/>
        <w:rPr>
          <w:rFonts w:ascii="Times New Roman" w:cs="Times New Roman" w:eastAsia="Times New Roman" w:hAnsi="Times New Roman"/>
          <w:sz w:val="14"/>
          <w:szCs w:val="14"/>
          <w:color w:val="auto"/>
        </w:rPr>
      </w:pPr>
    </w:p>
    <w:p>
      <w:pPr>
        <w:ind w:firstLine="992"/>
        <w:spacing w:after="0" w:line="273" w:lineRule="auto"/>
        <w:tabs>
          <w:tab w:leader="none" w:pos="118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30" w:lineRule="exact"/>
        <w:rPr>
          <w:rFonts w:ascii="Times New Roman" w:cs="Times New Roman" w:eastAsia="Times New Roman" w:hAnsi="Times New Roman"/>
          <w:sz w:val="14"/>
          <w:szCs w:val="14"/>
          <w:color w:val="auto"/>
        </w:rPr>
      </w:pPr>
    </w:p>
    <w:p>
      <w:pPr>
        <w:ind w:firstLine="992"/>
        <w:spacing w:after="0" w:line="273" w:lineRule="auto"/>
        <w:tabs>
          <w:tab w:leader="none" w:pos="118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30" w:lineRule="exact"/>
        <w:rPr>
          <w:rFonts w:ascii="Times New Roman" w:cs="Times New Roman" w:eastAsia="Times New Roman" w:hAnsi="Times New Roman"/>
          <w:sz w:val="14"/>
          <w:szCs w:val="14"/>
          <w:color w:val="auto"/>
        </w:rPr>
      </w:pPr>
    </w:p>
    <w:p>
      <w:pPr>
        <w:jc w:val="both"/>
        <w:ind w:firstLine="992"/>
        <w:spacing w:after="0" w:line="259" w:lineRule="auto"/>
        <w:tabs>
          <w:tab w:leader="none" w:pos="117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140" w:lineRule="exact"/>
        <w:rPr>
          <w:rFonts w:ascii="Times New Roman" w:cs="Times New Roman" w:eastAsia="Times New Roman" w:hAnsi="Times New Roman"/>
          <w:sz w:val="14"/>
          <w:szCs w:val="14"/>
          <w:color w:val="auto"/>
        </w:rPr>
      </w:pPr>
    </w:p>
    <w:p>
      <w:pPr>
        <w:jc w:val="both"/>
        <w:ind w:firstLine="992"/>
        <w:spacing w:after="0" w:line="259" w:lineRule="auto"/>
        <w:tabs>
          <w:tab w:leader="none" w:pos="119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30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10795</wp:posOffset>
            </wp:positionV>
            <wp:extent cx="71647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0"/>
          </w:cols>
          <w:pgMar w:left="800" w:top="726" w:right="319" w:bottom="1440" w:gutter="0" w:footer="0" w:header="0"/>
        </w:sectPr>
      </w:pPr>
    </w:p>
    <w:bookmarkStart w:id="96" w:name="page97"/>
    <w:bookmarkEnd w:id="96"/>
    <w:p>
      <w:pPr>
        <w:jc w:val="both"/>
        <w:ind w:left="500" w:firstLine="992"/>
        <w:spacing w:after="0" w:line="259" w:lineRule="auto"/>
        <w:tabs>
          <w:tab w:leader="none" w:pos="1687"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deemed to have notice of any Default (other than a payment default under Section 6.1 or 6.2) or Event of Default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40" w:lineRule="exact"/>
        <w:rPr>
          <w:rFonts w:ascii="Times New Roman" w:cs="Times New Roman" w:eastAsia="Times New Roman" w:hAnsi="Times New Roman"/>
          <w:sz w:val="14"/>
          <w:szCs w:val="14"/>
          <w:color w:val="auto"/>
        </w:rPr>
      </w:pPr>
    </w:p>
    <w:p>
      <w:pPr>
        <w:ind w:left="500" w:firstLine="992"/>
        <w:spacing w:after="0" w:line="273" w:lineRule="auto"/>
        <w:tabs>
          <w:tab w:leader="none" w:pos="167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30" w:lineRule="exact"/>
        <w:rPr>
          <w:rFonts w:ascii="Times New Roman" w:cs="Times New Roman" w:eastAsia="Times New Roman" w:hAnsi="Times New Roman"/>
          <w:sz w:val="14"/>
          <w:szCs w:val="14"/>
          <w:color w:val="auto"/>
        </w:rPr>
      </w:pPr>
    </w:p>
    <w:p>
      <w:pPr>
        <w:jc w:val="both"/>
        <w:ind w:left="500" w:firstLine="992"/>
        <w:spacing w:after="0" w:line="259" w:lineRule="auto"/>
        <w:tabs>
          <w:tab w:leader="none" w:pos="166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0"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no duty to inquire as to or monitor the performance of the Issuer with respect to the covenants contained in Article IV.</w:t>
      </w:r>
    </w:p>
    <w:p>
      <w:pPr>
        <w:spacing w:after="0" w:line="169" w:lineRule="exact"/>
        <w:rPr>
          <w:rFonts w:ascii="Times New Roman" w:cs="Times New Roman" w:eastAsia="Times New Roman" w:hAnsi="Times New Roman"/>
          <w:sz w:val="14"/>
          <w:szCs w:val="14"/>
          <w:color w:val="auto"/>
        </w:rPr>
      </w:pPr>
    </w:p>
    <w:p>
      <w:pPr>
        <w:ind w:left="1660" w:hanging="168"/>
        <w:spacing w:after="0"/>
        <w:tabs>
          <w:tab w:leader="none" w:pos="16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note, bond or surety in respect of the execution of the trusts and powers under this Indenture.</w:t>
      </w:r>
    </w:p>
    <w:p>
      <w:pPr>
        <w:spacing w:after="0" w:line="169" w:lineRule="exact"/>
        <w:rPr>
          <w:rFonts w:ascii="Times New Roman" w:cs="Times New Roman" w:eastAsia="Times New Roman" w:hAnsi="Times New Roman"/>
          <w:sz w:val="14"/>
          <w:szCs w:val="14"/>
          <w:color w:val="auto"/>
        </w:rPr>
      </w:pPr>
    </w:p>
    <w:p>
      <w:pPr>
        <w:ind w:left="1720" w:hanging="228"/>
        <w:spacing w:after="0"/>
        <w:tabs>
          <w:tab w:leader="none" w:pos="17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herein shall be deemed to require the Trustee to submit to the jurisdiction or venue of a non-U.S. court.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Force Majeure</w:t>
      </w:r>
    </w:p>
    <w:p>
      <w:pPr>
        <w:spacing w:after="0" w:line="170" w:lineRule="exact"/>
        <w:rPr>
          <w:sz w:val="20"/>
          <w:szCs w:val="20"/>
          <w:color w:val="auto"/>
        </w:rPr>
      </w:pPr>
    </w:p>
    <w:p>
      <w:pPr>
        <w:jc w:val="both"/>
        <w:ind w:left="500" w:firstLine="992"/>
        <w:spacing w:after="0" w:line="289" w:lineRule="auto"/>
        <w:tabs>
          <w:tab w:leader="none" w:pos="168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have no liability for delays or inability to perform its duties hereunder due to forces majeures,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21" w:lineRule="exact"/>
        <w:rPr>
          <w:rFonts w:ascii="Times New Roman" w:cs="Times New Roman" w:eastAsia="Times New Roman" w:hAnsi="Times New Roman"/>
          <w:sz w:val="13"/>
          <w:szCs w:val="13"/>
          <w:color w:val="auto"/>
        </w:rPr>
      </w:pPr>
    </w:p>
    <w:p>
      <w:pPr>
        <w:ind w:left="500" w:firstLine="992"/>
        <w:spacing w:after="0" w:line="273" w:lineRule="auto"/>
        <w:tabs>
          <w:tab w:leader="none" w:pos="168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of reports or information by the Company shall not be deemed to confer actual or constructive knowledge or notice on the Trustee with respect to a Default or Event of Default, or otherwise.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Individual Rights of Trustee</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7" w:name="page98"/>
    <w:bookmarkEnd w:id="97"/>
    <w:p>
      <w:pPr>
        <w:ind w:left="500"/>
        <w:spacing w:after="0"/>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Trustee’s Disclaimer</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Notice of Defaults</w:t>
      </w:r>
    </w:p>
    <w:p>
      <w:pPr>
        <w:spacing w:after="0" w:line="17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7.7 </w:t>
      </w:r>
      <w:r>
        <w:rPr>
          <w:rFonts w:ascii="Times New Roman" w:cs="Times New Roman" w:eastAsia="Times New Roman" w:hAnsi="Times New Roman"/>
          <w:sz w:val="14"/>
          <w:szCs w:val="14"/>
          <w:u w:val="single" w:color="auto"/>
          <w:color w:val="auto"/>
        </w:rPr>
        <w:t>Reports by Trustee to Holders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Within 60 days after each , commencing , 20 , the Trustee shall transmit by mail to all Security Holders, as their names and addresses appear on the register kept by the Registrar, a brief report dated as of such anniversary date, in accordance with, and to the extent required under, TIA § 313.</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u w:val="single" w:color="auto"/>
          <w:color w:val="auto"/>
        </w:rPr>
        <w:t>Compensation and Indemnity</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8" w:name="page99"/>
    <w:bookmarkEnd w:id="98"/>
    <w:p>
      <w:pPr>
        <w:jc w:val="both"/>
        <w:ind w:firstLine="745"/>
        <w:spacing w:after="0" w:line="251" w:lineRule="auto"/>
        <w:rPr>
          <w:sz w:val="20"/>
          <w:szCs w:val="20"/>
          <w:color w:val="auto"/>
        </w:rPr>
      </w:pPr>
      <w:r>
        <w:rPr>
          <w:rFonts w:ascii="Times New Roman" w:cs="Times New Roman" w:eastAsia="Times New Roman" w:hAnsi="Times New Roman"/>
          <w:sz w:val="14"/>
          <w:szCs w:val="14"/>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48"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3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6.1(d) or (e) occurs, the expenses and the compensation for the services (including the fees and expenses of its agents and counsel) are intended to constitute expenses of administration under any Bankruptcy Law.</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 and the resignation and removal of the Trustee.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u w:val="single" w:color="auto"/>
          <w:color w:val="auto"/>
        </w:rPr>
        <w:t>Replacement of Trustee</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 resignation or removal of the Trustee and appointment of a successor Trustee shall become effective only upon the successor Trustee’s acceptance of appointment as provided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w:t>
      </w:r>
    </w:p>
    <w:p>
      <w:pPr>
        <w:spacing w:after="0" w:line="157"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1" w:lineRule="exact"/>
        <w:rPr>
          <w:sz w:val="20"/>
          <w:szCs w:val="20"/>
          <w:color w:val="auto"/>
        </w:rPr>
      </w:pPr>
    </w:p>
    <w:p>
      <w:pPr>
        <w:ind w:left="1680" w:hanging="188"/>
        <w:spacing w:after="0"/>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Section 7.11;</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a bankrupt or an insolvent or an order for relief is entered with respect to the Trustee under any Bankruptcy Law;</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or public officer takes charge of the Trustee or its property; or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becomes incapable of acting.</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9" w:name="page100"/>
    <w:bookmarkEnd w:id="99"/>
    <w:p>
      <w:pPr>
        <w:jc w:val="both"/>
        <w:ind w:firstLine="745"/>
        <w:spacing w:after="0" w:line="312" w:lineRule="auto"/>
        <w:rPr>
          <w:sz w:val="20"/>
          <w:szCs w:val="20"/>
          <w:color w:val="auto"/>
        </w:rPr>
      </w:pPr>
      <w:r>
        <w:rPr>
          <w:rFonts w:ascii="Times New Roman" w:cs="Times New Roman" w:eastAsia="Times New Roman" w:hAnsi="Times New Roman"/>
          <w:sz w:val="13"/>
          <w:szCs w:val="13"/>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08"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30" w:lineRule="exact"/>
        <w:rPr>
          <w:sz w:val="20"/>
          <w:szCs w:val="20"/>
          <w:color w:val="auto"/>
        </w:rPr>
      </w:pPr>
    </w:p>
    <w:p>
      <w:pPr>
        <w:jc w:val="both"/>
        <w:ind w:firstLine="745"/>
        <w:spacing w:after="0" w:line="253" w:lineRule="auto"/>
        <w:rPr>
          <w:sz w:val="20"/>
          <w:szCs w:val="20"/>
          <w:color w:val="auto"/>
        </w:rPr>
      </w:pPr>
      <w:r>
        <w:rPr>
          <w:rFonts w:ascii="Times New Roman" w:cs="Times New Roman" w:eastAsia="Times New Roman" w:hAnsi="Times New Roman"/>
          <w:sz w:val="14"/>
          <w:szCs w:val="14"/>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44"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 xml:space="preserve"> If the Trustee consolidates with, merges or converts into, or transfers all or substantially all of its corporate trust business to, another corporation, the successor corporation without any further act shall be the successor Trustee.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Eligibility; Disqualification</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7.12 </w:t>
      </w:r>
      <w:r>
        <w:rPr>
          <w:rFonts w:ascii="Times New Roman" w:cs="Times New Roman" w:eastAsia="Times New Roman" w:hAnsi="Times New Roman"/>
          <w:sz w:val="14"/>
          <w:szCs w:val="14"/>
          <w:u w:val="single" w:color="auto"/>
          <w:color w:val="auto"/>
        </w:rPr>
        <w:t>Preferential Collection of Claims Against Company</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The Trustee is subject to TIA § 311(a), excluding any creditor relationship listed in TIA § 311(b). A Trustee who has resigned or been removed shall be subject to TIA § 311(a) to the extent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indicated.</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Satisfaction and Discharge of Indenture</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30" w:lineRule="exact"/>
        <w:rPr>
          <w:sz w:val="20"/>
          <w:szCs w:val="20"/>
          <w:color w:val="auto"/>
        </w:rPr>
      </w:pPr>
    </w:p>
    <w:p>
      <w:pPr>
        <w:ind w:left="1680" w:hanging="188"/>
        <w:spacing w:after="0"/>
        <w:tabs>
          <w:tab w:leader="none" w:pos="16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69" w:lineRule="exact"/>
        <w:rPr>
          <w:rFonts w:ascii="Times New Roman" w:cs="Times New Roman" w:eastAsia="Times New Roman" w:hAnsi="Times New Roman"/>
          <w:sz w:val="14"/>
          <w:szCs w:val="14"/>
          <w:color w:val="auto"/>
        </w:rPr>
      </w:pPr>
    </w:p>
    <w:p>
      <w:pPr>
        <w:ind w:firstLine="1740"/>
        <w:spacing w:after="0" w:line="273" w:lineRule="auto"/>
        <w:tabs>
          <w:tab w:leader="none" w:pos="192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theretofore authenticated and delivered (other than Securities that have been destroyed, lost or stolen and that have been replaced or paid) have been delivered to the Trustee for cancellation; or</w:t>
      </w:r>
    </w:p>
    <w:p>
      <w:pPr>
        <w:spacing w:after="0" w:line="130" w:lineRule="exact"/>
        <w:rPr>
          <w:rFonts w:ascii="Times New Roman" w:cs="Times New Roman" w:eastAsia="Times New Roman" w:hAnsi="Times New Roman"/>
          <w:sz w:val="14"/>
          <w:szCs w:val="14"/>
          <w:color w:val="auto"/>
        </w:rPr>
      </w:pPr>
    </w:p>
    <w:p>
      <w:pPr>
        <w:ind w:left="1940" w:hanging="200"/>
        <w:spacing w:after="0"/>
        <w:tabs>
          <w:tab w:leader="none" w:pos="194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not theretofore delivered to the Trustee for cancellation</w:t>
      </w:r>
    </w:p>
    <w:p>
      <w:pPr>
        <w:spacing w:after="0" w:line="169" w:lineRule="exact"/>
        <w:rPr>
          <w:rFonts w:ascii="Times New Roman" w:cs="Times New Roman" w:eastAsia="Times New Roman" w:hAnsi="Times New Roman"/>
          <w:sz w:val="14"/>
          <w:szCs w:val="14"/>
          <w:color w:val="auto"/>
        </w:rPr>
      </w:pPr>
    </w:p>
    <w:p>
      <w:pPr>
        <w:ind w:left="2180" w:hanging="192"/>
        <w:spacing w:after="0"/>
        <w:tabs>
          <w:tab w:leader="none" w:pos="2180" w:val="left"/>
        </w:tabs>
        <w:numPr>
          <w:ilvl w:val="2"/>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169" w:lineRule="exact"/>
        <w:rPr>
          <w:rFonts w:ascii="Times New Roman" w:cs="Times New Roman" w:eastAsia="Times New Roman" w:hAnsi="Times New Roman"/>
          <w:sz w:val="14"/>
          <w:szCs w:val="14"/>
          <w:color w:val="auto"/>
        </w:rPr>
      </w:pPr>
    </w:p>
    <w:p>
      <w:pPr>
        <w:ind w:left="2180" w:hanging="192"/>
        <w:spacing w:after="0"/>
        <w:tabs>
          <w:tab w:leader="none" w:pos="2180" w:val="left"/>
        </w:tabs>
        <w:numPr>
          <w:ilvl w:val="2"/>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69" w:lineRule="exact"/>
        <w:rPr>
          <w:rFonts w:ascii="Times New Roman" w:cs="Times New Roman" w:eastAsia="Times New Roman" w:hAnsi="Times New Roman"/>
          <w:sz w:val="14"/>
          <w:szCs w:val="14"/>
          <w:color w:val="auto"/>
        </w:rPr>
      </w:pPr>
    </w:p>
    <w:p>
      <w:pPr>
        <w:ind w:firstLine="1988"/>
        <w:spacing w:after="0" w:line="273" w:lineRule="auto"/>
        <w:tabs>
          <w:tab w:leader="none" w:pos="2200" w:val="left"/>
        </w:tabs>
        <w:numPr>
          <w:ilvl w:val="2"/>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0" w:lineRule="exact"/>
        <w:rPr>
          <w:rFonts w:ascii="Times New Roman" w:cs="Times New Roman" w:eastAsia="Times New Roman" w:hAnsi="Times New Roman"/>
          <w:sz w:val="14"/>
          <w:szCs w:val="14"/>
          <w:color w:val="auto"/>
        </w:rPr>
      </w:pPr>
    </w:p>
    <w:p>
      <w:pPr>
        <w:ind w:left="2180" w:hanging="192"/>
        <w:spacing w:after="0"/>
        <w:tabs>
          <w:tab w:leader="none" w:pos="2180" w:val="left"/>
        </w:tabs>
        <w:numPr>
          <w:ilvl w:val="2"/>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deemed paid and discharged pursuant to Section 8.3, as applicable;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and the Company, in the case of (1), (2) or (3)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41" w:lineRule="exact"/>
        <w:rPr>
          <w:sz w:val="20"/>
          <w:szCs w:val="20"/>
          <w:color w:val="auto"/>
        </w:rPr>
      </w:pPr>
    </w:p>
    <w:p>
      <w:pPr>
        <w:ind w:left="1680" w:hanging="188"/>
        <w:spacing w:after="0"/>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hereunder by the Company; and</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9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1" w:name="page102"/>
    <w:bookmarkEnd w:id="101"/>
    <w:p>
      <w:pPr>
        <w:ind w:left="500"/>
        <w:spacing w:after="0"/>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Application of Trust Funds; Indemnification</w:t>
      </w:r>
    </w:p>
    <w:p>
      <w:pPr>
        <w:spacing w:after="0" w:line="170" w:lineRule="exact"/>
        <w:rPr>
          <w:sz w:val="20"/>
          <w:szCs w:val="20"/>
          <w:color w:val="auto"/>
        </w:rPr>
      </w:pPr>
    </w:p>
    <w:p>
      <w:pPr>
        <w:jc w:val="both"/>
        <w:ind w:left="500" w:firstLine="992"/>
        <w:spacing w:after="0" w:line="277" w:lineRule="auto"/>
        <w:tabs>
          <w:tab w:leader="none" w:pos="1686"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30" w:lineRule="exact"/>
        <w:rPr>
          <w:rFonts w:ascii="Times New Roman" w:cs="Times New Roman" w:eastAsia="Times New Roman" w:hAnsi="Times New Roman"/>
          <w:sz w:val="13"/>
          <w:szCs w:val="13"/>
          <w:color w:val="auto"/>
        </w:rPr>
      </w:pPr>
    </w:p>
    <w:p>
      <w:pPr>
        <w:ind w:left="500" w:firstLine="992"/>
        <w:spacing w:after="0" w:line="273" w:lineRule="auto"/>
        <w:tabs>
          <w:tab w:leader="none" w:pos="170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130" w:lineRule="exact"/>
        <w:rPr>
          <w:rFonts w:ascii="Times New Roman" w:cs="Times New Roman" w:eastAsia="Times New Roman" w:hAnsi="Times New Roman"/>
          <w:sz w:val="14"/>
          <w:szCs w:val="14"/>
          <w:color w:val="auto"/>
        </w:rPr>
      </w:pPr>
    </w:p>
    <w:p>
      <w:pPr>
        <w:jc w:val="both"/>
        <w:ind w:left="500" w:firstLine="992"/>
        <w:spacing w:after="0" w:line="253" w:lineRule="auto"/>
        <w:tabs>
          <w:tab w:leader="none" w:pos="168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Legal Defeasance of Securities of any Series</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Unless this Section 8.3 is otherwise specified, pursuant to Section 2.2.20,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a Company Request, execute proper instruments acknowledging the same), except as to:</w:t>
      </w:r>
    </w:p>
    <w:p>
      <w:pPr>
        <w:spacing w:after="0" w:line="143" w:lineRule="exact"/>
        <w:rPr>
          <w:sz w:val="20"/>
          <w:szCs w:val="20"/>
          <w:color w:val="auto"/>
        </w:rPr>
      </w:pPr>
    </w:p>
    <w:p>
      <w:pPr>
        <w:jc w:val="both"/>
        <w:ind w:left="500" w:firstLine="992"/>
        <w:spacing w:after="0" w:line="289" w:lineRule="auto"/>
        <w:tabs>
          <w:tab w:leader="none" w:pos="1683"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21" w:lineRule="exact"/>
        <w:rPr>
          <w:rFonts w:ascii="Times New Roman" w:cs="Times New Roman" w:eastAsia="Times New Roman" w:hAnsi="Times New Roman"/>
          <w:sz w:val="13"/>
          <w:szCs w:val="13"/>
          <w:color w:val="auto"/>
        </w:rPr>
      </w:pPr>
    </w:p>
    <w:p>
      <w:pPr>
        <w:ind w:left="1680" w:hanging="188"/>
        <w:spacing w:after="0"/>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Sections 2.4, 2.7, 2.8, 8.2, 8.3, and 8.5; and</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2" w:name="page103"/>
    <w:bookmarkEnd w:id="102"/>
    <w:p>
      <w:pPr>
        <w:ind w:left="1680" w:hanging="188"/>
        <w:spacing w:after="0"/>
        <w:tabs>
          <w:tab w:leader="none" w:pos="1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 and immunities of the Trustee;</w:t>
      </w:r>
    </w:p>
    <w:p>
      <w:pPr>
        <w:spacing w:after="0" w:line="16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the following conditions shall have been satisfied:</w:t>
      </w:r>
    </w:p>
    <w:p>
      <w:pPr>
        <w:spacing w:after="0" w:line="169" w:lineRule="exact"/>
        <w:rPr>
          <w:rFonts w:ascii="Times New Roman" w:cs="Times New Roman" w:eastAsia="Times New Roman" w:hAnsi="Times New Roman"/>
          <w:sz w:val="14"/>
          <w:szCs w:val="14"/>
          <w:color w:val="auto"/>
        </w:rPr>
      </w:pPr>
    </w:p>
    <w:p>
      <w:pPr>
        <w:jc w:val="both"/>
        <w:ind w:left="500" w:firstLine="992"/>
        <w:spacing w:after="0" w:line="251" w:lineRule="auto"/>
        <w:tabs>
          <w:tab w:leader="none" w:pos="1701"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45"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this Indenture or any other agreement or instrument to which the Company is a party or</w:t>
      </w:r>
    </w:p>
    <w:p>
      <w:pPr>
        <w:spacing w:after="0" w:line="29"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by which it is bound;</w:t>
      </w:r>
    </w:p>
    <w:p>
      <w:pPr>
        <w:spacing w:after="0" w:line="156" w:lineRule="exact"/>
        <w:rPr>
          <w:rFonts w:ascii="Times New Roman" w:cs="Times New Roman" w:eastAsia="Times New Roman" w:hAnsi="Times New Roman"/>
          <w:sz w:val="13"/>
          <w:szCs w:val="13"/>
          <w:color w:val="auto"/>
        </w:rPr>
      </w:pPr>
    </w:p>
    <w:p>
      <w:pPr>
        <w:ind w:left="500" w:firstLine="992"/>
        <w:spacing w:after="0" w:line="273" w:lineRule="auto"/>
        <w:tabs>
          <w:tab w:leader="none" w:pos="1669"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Securities of such Series shall have occurred and be continuing on the date of such deposit or during the period ending on the 91st day after such date;</w:t>
      </w:r>
    </w:p>
    <w:p>
      <w:pPr>
        <w:spacing w:after="0" w:line="130" w:lineRule="exact"/>
        <w:rPr>
          <w:rFonts w:ascii="Times New Roman" w:cs="Times New Roman" w:eastAsia="Times New Roman" w:hAnsi="Times New Roman"/>
          <w:sz w:val="14"/>
          <w:szCs w:val="14"/>
          <w:color w:val="auto"/>
        </w:rPr>
      </w:pPr>
    </w:p>
    <w:p>
      <w:pPr>
        <w:jc w:val="both"/>
        <w:ind w:left="500" w:firstLine="992"/>
        <w:spacing w:after="0" w:line="253" w:lineRule="auto"/>
        <w:tabs>
          <w:tab w:leader="none" w:pos="1695"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44" w:lineRule="exact"/>
        <w:rPr>
          <w:rFonts w:ascii="Times New Roman" w:cs="Times New Roman" w:eastAsia="Times New Roman" w:hAnsi="Times New Roman"/>
          <w:sz w:val="14"/>
          <w:szCs w:val="14"/>
          <w:color w:val="auto"/>
        </w:rPr>
      </w:pPr>
    </w:p>
    <w:p>
      <w:pPr>
        <w:ind w:left="500" w:firstLine="992"/>
        <w:spacing w:after="0" w:line="273" w:lineRule="auto"/>
        <w:tabs>
          <w:tab w:leader="none" w:pos="168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30" w:lineRule="exact"/>
        <w:rPr>
          <w:rFonts w:ascii="Times New Roman" w:cs="Times New Roman" w:eastAsia="Times New Roman" w:hAnsi="Times New Roman"/>
          <w:sz w:val="14"/>
          <w:szCs w:val="14"/>
          <w:color w:val="auto"/>
        </w:rPr>
      </w:pPr>
    </w:p>
    <w:p>
      <w:pPr>
        <w:ind w:left="500" w:firstLine="992"/>
        <w:spacing w:after="0" w:line="273" w:lineRule="auto"/>
        <w:tabs>
          <w:tab w:leader="none" w:pos="167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Officers’Certificate and an Opinion of Counsel, each stating that all conditions precedent provided for relating to the defeasance contemplated by this Section have been complied with.</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3" w:name="page104"/>
    <w:bookmarkEnd w:id="103"/>
    <w:p>
      <w:pPr>
        <w:ind w:left="500"/>
        <w:spacing w:after="0"/>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Covenant Defeasance</w:t>
      </w:r>
    </w:p>
    <w:p>
      <w:pPr>
        <w:spacing w:after="0" w:line="170" w:lineRule="exact"/>
        <w:rPr>
          <w:sz w:val="20"/>
          <w:szCs w:val="20"/>
          <w:color w:val="auto"/>
        </w:rPr>
      </w:pPr>
    </w:p>
    <w:p>
      <w:pPr>
        <w:jc w:val="both"/>
        <w:ind w:firstLine="745"/>
        <w:spacing w:after="0" w:line="251" w:lineRule="auto"/>
        <w:rPr>
          <w:sz w:val="20"/>
          <w:szCs w:val="20"/>
          <w:color w:val="auto"/>
        </w:rPr>
      </w:pPr>
      <w:r>
        <w:rPr>
          <w:rFonts w:ascii="Times New Roman" w:cs="Times New Roman" w:eastAsia="Times New Roman" w:hAnsi="Times New Roman"/>
          <w:sz w:val="14"/>
          <w:szCs w:val="14"/>
          <w:color w:val="auto"/>
        </w:rPr>
        <w:t>Unless this Section 8.4 is otherwise specified pursuant to Section 2.2.20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2.2.20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148" w:lineRule="exact"/>
        <w:rPr>
          <w:sz w:val="20"/>
          <w:szCs w:val="20"/>
          <w:color w:val="auto"/>
        </w:rPr>
      </w:pPr>
    </w:p>
    <w:p>
      <w:pPr>
        <w:jc w:val="both"/>
        <w:ind w:left="500" w:firstLine="992"/>
        <w:spacing w:after="0" w:line="250" w:lineRule="auto"/>
        <w:tabs>
          <w:tab w:leader="none" w:pos="168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47" w:lineRule="exact"/>
        <w:rPr>
          <w:rFonts w:ascii="Times New Roman" w:cs="Times New Roman" w:eastAsia="Times New Roman" w:hAnsi="Times New Roman"/>
          <w:sz w:val="14"/>
          <w:szCs w:val="14"/>
          <w:color w:val="auto"/>
        </w:rPr>
      </w:pPr>
    </w:p>
    <w:p>
      <w:pPr>
        <w:ind w:left="1700" w:hanging="208"/>
        <w:spacing w:after="0"/>
        <w:tabs>
          <w:tab w:leader="none" w:pos="17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this Indenture or any other agreement or instrument to which the Company is a party or</w:t>
      </w:r>
    </w:p>
    <w:p>
      <w:pPr>
        <w:spacing w:after="0" w:line="29"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by which it is bound;</w:t>
      </w:r>
    </w:p>
    <w:p>
      <w:pPr>
        <w:spacing w:after="0" w:line="156" w:lineRule="exact"/>
        <w:rPr>
          <w:rFonts w:ascii="Times New Roman" w:cs="Times New Roman" w:eastAsia="Times New Roman" w:hAnsi="Times New Roman"/>
          <w:sz w:val="13"/>
          <w:szCs w:val="13"/>
          <w:color w:val="auto"/>
        </w:rPr>
      </w:pPr>
    </w:p>
    <w:p>
      <w:pPr>
        <w:ind w:left="1680" w:hanging="188"/>
        <w:spacing w:after="0"/>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Securities of such Series shall have occurred and be continuing on the date of such deposit;</w:t>
      </w:r>
    </w:p>
    <w:p>
      <w:pPr>
        <w:spacing w:after="0" w:line="169" w:lineRule="exact"/>
        <w:rPr>
          <w:rFonts w:ascii="Times New Roman" w:cs="Times New Roman" w:eastAsia="Times New Roman" w:hAnsi="Times New Roman"/>
          <w:sz w:val="14"/>
          <w:szCs w:val="14"/>
          <w:color w:val="auto"/>
        </w:rPr>
      </w:pPr>
    </w:p>
    <w:p>
      <w:pPr>
        <w:jc w:val="both"/>
        <w:ind w:left="500" w:firstLine="992"/>
        <w:spacing w:after="0" w:line="259" w:lineRule="auto"/>
        <w:tabs>
          <w:tab w:leader="none" w:pos="168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4" w:name="page105"/>
    <w:bookmarkEnd w:id="104"/>
    <w:p>
      <w:pPr>
        <w:ind w:left="500" w:firstLine="992"/>
        <w:spacing w:after="0" w:line="273" w:lineRule="auto"/>
        <w:tabs>
          <w:tab w:leader="none" w:pos="168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30" w:lineRule="exact"/>
        <w:rPr>
          <w:rFonts w:ascii="Times New Roman" w:cs="Times New Roman" w:eastAsia="Times New Roman" w:hAnsi="Times New Roman"/>
          <w:sz w:val="14"/>
          <w:szCs w:val="14"/>
          <w:color w:val="auto"/>
        </w:rPr>
      </w:pPr>
    </w:p>
    <w:p>
      <w:pPr>
        <w:ind w:left="500" w:firstLine="992"/>
        <w:spacing w:after="0" w:line="273" w:lineRule="auto"/>
        <w:tabs>
          <w:tab w:leader="none" w:pos="166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Repayment to Company</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Trustee and the Paying Agent shall pay to the Company upon written request any money held by them for the payment of principal and interest that remains unclaimed for two years.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that, Security Holders entitled to the money must look to the Company for payment as general creditors unless an applicable abandoned property law designates another person.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INDENTURES, AMENDMENTS AND WAIVERS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Without Consent of Holders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Company and the Trustee may amend or supplement this Indenture or the Securities of one or more Series without the consent of any Security Holder:</w:t>
      </w:r>
    </w:p>
    <w:p>
      <w:pPr>
        <w:spacing w:after="0" w:line="170" w:lineRule="exact"/>
        <w:rPr>
          <w:sz w:val="20"/>
          <w:szCs w:val="20"/>
          <w:color w:val="auto"/>
        </w:rPr>
      </w:pPr>
    </w:p>
    <w:p>
      <w:pPr>
        <w:ind w:left="1680" w:hanging="188"/>
        <w:spacing w:after="0"/>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V;</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 Holder;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Securities of any Series as permitted by this Indenture;</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69"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30"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this Indenture under the TIA.</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5" w:name="page106"/>
    <w:bookmarkEnd w:id="105"/>
    <w:p>
      <w:pPr>
        <w:ind w:left="500"/>
        <w:spacing w:after="0"/>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With Consent of Holders</w:t>
      </w:r>
    </w:p>
    <w:p>
      <w:pPr>
        <w:spacing w:after="0" w:line="170" w:lineRule="exact"/>
        <w:rPr>
          <w:sz w:val="20"/>
          <w:szCs w:val="20"/>
          <w:color w:val="auto"/>
        </w:rPr>
      </w:pPr>
    </w:p>
    <w:p>
      <w:pPr>
        <w:jc w:val="both"/>
        <w:ind w:firstLine="745"/>
        <w:spacing w:after="0" w:line="277" w:lineRule="auto"/>
        <w:rPr>
          <w:sz w:val="20"/>
          <w:szCs w:val="20"/>
          <w:color w:val="auto"/>
        </w:rPr>
      </w:pPr>
      <w:r>
        <w:rPr>
          <w:rFonts w:ascii="Times New Roman" w:cs="Times New Roman" w:eastAsia="Times New Roman" w:hAnsi="Times New Roman"/>
          <w:sz w:val="13"/>
          <w:szCs w:val="13"/>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3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9.3 </w:t>
      </w:r>
      <w:r>
        <w:rPr>
          <w:rFonts w:ascii="Times New Roman" w:cs="Times New Roman" w:eastAsia="Times New Roman" w:hAnsi="Times New Roman"/>
          <w:sz w:val="14"/>
          <w:szCs w:val="14"/>
          <w:u w:val="single" w:color="auto"/>
          <w:color w:val="auto"/>
        </w:rPr>
        <w:t>Limitations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Without the consent of each Security Holder affected, an amendment or waiver may not:</w:t>
      </w:r>
    </w:p>
    <w:p>
      <w:pPr>
        <w:spacing w:after="0" w:line="170" w:lineRule="exact"/>
        <w:rPr>
          <w:sz w:val="20"/>
          <w:szCs w:val="20"/>
          <w:color w:val="auto"/>
        </w:rPr>
      </w:pPr>
    </w:p>
    <w:p>
      <w:pPr>
        <w:ind w:left="1680" w:hanging="188"/>
        <w:spacing w:after="0"/>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Securities whose Holders must consent to an amendment, supplement or waiver;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Security;</w:t>
      </w:r>
    </w:p>
    <w:p>
      <w:pPr>
        <w:spacing w:after="0" w:line="169" w:lineRule="exact"/>
        <w:rPr>
          <w:rFonts w:ascii="Times New Roman" w:cs="Times New Roman" w:eastAsia="Times New Roman" w:hAnsi="Times New Roman"/>
          <w:sz w:val="14"/>
          <w:szCs w:val="14"/>
          <w:color w:val="auto"/>
        </w:rPr>
      </w:pPr>
    </w:p>
    <w:p>
      <w:pPr>
        <w:ind w:left="1700" w:hanging="208"/>
        <w:spacing w:after="0"/>
        <w:tabs>
          <w:tab w:leader="none" w:pos="17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or change the Stated Maturity of any Security or reduce the amount of, or postpone the date fixed for, the payment of any sinking fund or analogous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obligation;</w:t>
      </w:r>
    </w:p>
    <w:p>
      <w:pPr>
        <w:spacing w:after="0" w:line="157" w:lineRule="exact"/>
        <w:rPr>
          <w:sz w:val="20"/>
          <w:szCs w:val="20"/>
          <w:color w:val="auto"/>
        </w:rPr>
      </w:pPr>
    </w:p>
    <w:p>
      <w:pPr>
        <w:ind w:left="1680" w:hanging="188"/>
        <w:spacing w:after="0"/>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the maturity thereof;</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8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0" w:lineRule="exact"/>
        <w:rPr>
          <w:rFonts w:ascii="Times New Roman" w:cs="Times New Roman" w:eastAsia="Times New Roman" w:hAnsi="Times New Roman"/>
          <w:sz w:val="14"/>
          <w:szCs w:val="14"/>
          <w:color w:val="auto"/>
        </w:rPr>
      </w:pPr>
    </w:p>
    <w:p>
      <w:pPr>
        <w:ind w:left="1660" w:hanging="168"/>
        <w:spacing w:after="0"/>
        <w:tabs>
          <w:tab w:leader="none" w:pos="1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interest, if any, on any Security payable in any currency other than that stated in the Security;</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Sections 6.8, 6.13 or 9.3 (this sentence); or</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 provided that such redemption is made at the Company’s option.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u w:val="single" w:color="auto"/>
          <w:color w:val="auto"/>
        </w:rPr>
        <w:t>Compliance with Trust Indenture Act</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6" w:name="page107"/>
    <w:bookmarkEnd w:id="106"/>
    <w:p>
      <w:pPr>
        <w:ind w:left="500"/>
        <w:spacing w:after="0"/>
        <w:rPr>
          <w:sz w:val="20"/>
          <w:szCs w:val="20"/>
          <w:color w:val="auto"/>
        </w:rPr>
      </w:pPr>
      <w:r>
        <w:rPr>
          <w:rFonts w:ascii="Times New Roman" w:cs="Times New Roman" w:eastAsia="Times New Roman" w:hAnsi="Times New Roman"/>
          <w:sz w:val="14"/>
          <w:szCs w:val="14"/>
          <w:color w:val="auto"/>
        </w:rPr>
        <w:t xml:space="preserve">Section 9.5 </w:t>
      </w:r>
      <w:r>
        <w:rPr>
          <w:rFonts w:ascii="Times New Roman" w:cs="Times New Roman" w:eastAsia="Times New Roman" w:hAnsi="Times New Roman"/>
          <w:sz w:val="14"/>
          <w:szCs w:val="14"/>
          <w:u w:val="single" w:color="auto"/>
          <w:color w:val="auto"/>
        </w:rPr>
        <w:t>Revocation and Effect of Consents</w:t>
      </w:r>
    </w:p>
    <w:p>
      <w:pPr>
        <w:spacing w:after="0" w:line="170" w:lineRule="exact"/>
        <w:rPr>
          <w:sz w:val="20"/>
          <w:szCs w:val="20"/>
          <w:color w:val="auto"/>
        </w:rPr>
      </w:pPr>
    </w:p>
    <w:p>
      <w:pPr>
        <w:jc w:val="both"/>
        <w:ind w:firstLine="745"/>
        <w:spacing w:after="0" w:line="255" w:lineRule="auto"/>
        <w:rPr>
          <w:sz w:val="20"/>
          <w:szCs w:val="20"/>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Any amendment or waiver once effective shall bind every Security Holder of each Series affected by such amendment or waiver unless it is of the type described in any of clauses (a) through</w:t>
      </w:r>
    </w:p>
    <w:p>
      <w:pPr>
        <w:spacing w:after="0" w:line="29" w:lineRule="exact"/>
        <w:rPr>
          <w:sz w:val="20"/>
          <w:szCs w:val="20"/>
          <w:color w:val="auto"/>
        </w:rPr>
      </w:pPr>
    </w:p>
    <w:p>
      <w:pPr>
        <w:ind w:firstLine="3"/>
        <w:spacing w:after="0" w:line="253" w:lineRule="auto"/>
        <w:tabs>
          <w:tab w:leader="none" w:pos="19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9.6 </w:t>
      </w:r>
      <w:r>
        <w:rPr>
          <w:rFonts w:ascii="Times New Roman" w:cs="Times New Roman" w:eastAsia="Times New Roman" w:hAnsi="Times New Roman"/>
          <w:sz w:val="14"/>
          <w:szCs w:val="14"/>
          <w:u w:val="single" w:color="auto"/>
          <w:color w:val="auto"/>
        </w:rPr>
        <w:t>Notation on or Exchange of Securities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9.7 </w:t>
      </w:r>
      <w:r>
        <w:rPr>
          <w:rFonts w:ascii="Times New Roman" w:cs="Times New Roman" w:eastAsia="Times New Roman" w:hAnsi="Times New Roman"/>
          <w:sz w:val="14"/>
          <w:szCs w:val="14"/>
          <w:u w:val="single" w:color="auto"/>
          <w:color w:val="auto"/>
        </w:rPr>
        <w:t>Trustee Protected</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Trust Indenture Act Controls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or deemed to be included in this Indenture by the TIA, such required or deemed provision shall control.</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7" w:name="page108"/>
    <w:bookmarkEnd w:id="107"/>
    <w:p>
      <w:pPr>
        <w:ind w:left="500"/>
        <w:spacing w:after="0"/>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Notices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Any notice or communication by the Company or the Trustee to the other, or by a Holder to the Company or the Trustee, is duly given if in writing, in the English language, referencing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and the applicable securities or series of securities, and delivered in person or mailed by first-class mail, or by facsimile transmission: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Room 202, 2/F, Baide Building, Building 11, No.15</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Rongtong Street, Yuexiu District, Guangzhou</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People’s Republic of China</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Attention: [●]</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[__________]</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[__________]</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Attention: [__________]</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If a notice or communication is mailed or published in the manner provided above, within the time prescribed, it is duly given, whether or not the Security Holder receives it.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If the Company mails a notice or communication to Security Holders, it shall mail a copy to the Trustee and each Agent at the same time.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Communication by Holders with Other Holders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Certificate and Opinion as to Conditions Precedent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170" w:lineRule="exact"/>
        <w:rPr>
          <w:sz w:val="20"/>
          <w:szCs w:val="20"/>
          <w:color w:val="auto"/>
        </w:rPr>
      </w:pPr>
    </w:p>
    <w:p>
      <w:pPr>
        <w:ind w:left="1700" w:hanging="208"/>
        <w:spacing w:after="0"/>
        <w:tabs>
          <w:tab w:leader="none" w:pos="17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stating that, in the opinion of the signers, all conditions precedent, if any, provided for in this Indenture relating to the proposed action have been</w:t>
      </w:r>
    </w:p>
    <w:p>
      <w:pPr>
        <w:spacing w:after="0" w:line="1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complied with; and</w:t>
      </w:r>
    </w:p>
    <w:p>
      <w:pPr>
        <w:spacing w:after="0" w:line="156"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stating that, in the opinion of such counsel, all such conditions precedent have been complied with.</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8" w:name="page109"/>
    <w:bookmarkEnd w:id="108"/>
    <w:p>
      <w:pPr>
        <w:ind w:left="50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Statements Required in Certificate or Opinion</w:t>
      </w:r>
    </w:p>
    <w:p>
      <w:pPr>
        <w:spacing w:after="0" w:line="170" w:lineRule="exact"/>
        <w:rPr>
          <w:sz w:val="20"/>
          <w:szCs w:val="20"/>
          <w:color w:val="auto"/>
        </w:rPr>
      </w:pPr>
    </w:p>
    <w:p>
      <w:pPr>
        <w:ind w:firstLine="745"/>
        <w:spacing w:after="0" w:line="273" w:lineRule="auto"/>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30" w:lineRule="exact"/>
        <w:rPr>
          <w:sz w:val="20"/>
          <w:szCs w:val="20"/>
          <w:color w:val="auto"/>
        </w:rPr>
      </w:pPr>
    </w:p>
    <w:p>
      <w:pPr>
        <w:ind w:left="1680" w:hanging="188"/>
        <w:spacing w:after="0"/>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169"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69" w:lineRule="exact"/>
        <w:rPr>
          <w:rFonts w:ascii="Times New Roman" w:cs="Times New Roman" w:eastAsia="Times New Roman" w:hAnsi="Times New Roman"/>
          <w:sz w:val="14"/>
          <w:szCs w:val="14"/>
          <w:color w:val="auto"/>
        </w:rPr>
      </w:pPr>
    </w:p>
    <w:p>
      <w:pPr>
        <w:ind w:left="500" w:firstLine="992"/>
        <w:spacing w:after="0" w:line="273" w:lineRule="auto"/>
        <w:tabs>
          <w:tab w:leader="none" w:pos="168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30" w:lineRule="exact"/>
        <w:rPr>
          <w:rFonts w:ascii="Times New Roman" w:cs="Times New Roman" w:eastAsia="Times New Roman" w:hAnsi="Times New Roman"/>
          <w:sz w:val="14"/>
          <w:szCs w:val="14"/>
          <w:color w:val="auto"/>
        </w:rPr>
      </w:pPr>
    </w:p>
    <w:p>
      <w:pPr>
        <w:ind w:left="1680" w:hanging="188"/>
        <w:spacing w:after="0"/>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condition or covenant has been complied with.</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Trustee may make reasonable rules for action by or a meeting of Security Holders of one or more Series. Any Agent may make reasonable rules and set reasonable requirements for 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functions.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Legal Holidays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No Recourse Against Others</w:t>
      </w:r>
    </w:p>
    <w:p>
      <w:pPr>
        <w:spacing w:after="0" w:line="170" w:lineRule="exact"/>
        <w:rPr>
          <w:sz w:val="20"/>
          <w:szCs w:val="20"/>
          <w:color w:val="auto"/>
        </w:rPr>
      </w:pPr>
    </w:p>
    <w:p>
      <w:pPr>
        <w:jc w:val="both"/>
        <w:ind w:firstLine="745"/>
        <w:spacing w:after="0" w:line="259" w:lineRule="auto"/>
        <w:rPr>
          <w:sz w:val="20"/>
          <w:szCs w:val="20"/>
          <w:color w:val="auto"/>
        </w:rPr>
      </w:pPr>
      <w:r>
        <w:rPr>
          <w:rFonts w:ascii="Times New Roman" w:cs="Times New Roman" w:eastAsia="Times New Roman" w:hAnsi="Times New Roman"/>
          <w:sz w:val="14"/>
          <w:szCs w:val="14"/>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Counterparts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9" w:name="page110"/>
    <w:bookmarkEnd w:id="109"/>
    <w:p>
      <w:pPr>
        <w:ind w:left="50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Governing Laws</w:t>
      </w:r>
    </w:p>
    <w:p>
      <w:pPr>
        <w:spacing w:after="0" w:line="166" w:lineRule="exact"/>
        <w:rPr>
          <w:sz w:val="20"/>
          <w:szCs w:val="20"/>
          <w:color w:val="auto"/>
        </w:rPr>
      </w:pPr>
    </w:p>
    <w:p>
      <w:pPr>
        <w:jc w:val="both"/>
        <w:ind w:firstLine="745"/>
        <w:spacing w:after="0" w:line="279" w:lineRule="auto"/>
        <w:rPr>
          <w:sz w:val="20"/>
          <w:szCs w:val="20"/>
          <w:color w:val="auto"/>
        </w:rPr>
      </w:pPr>
      <w:r>
        <w:rPr>
          <w:rFonts w:ascii="Times New Roman" w:cs="Times New Roman" w:eastAsia="Times New Roman" w:hAnsi="Times New Roman"/>
          <w:sz w:val="14"/>
          <w:szCs w:val="14"/>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u w:val="single" w:color="auto"/>
          <w:color w:val="auto"/>
        </w:rPr>
        <w:t>No Adverse Interpretation of Other Agreements.</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10.11 </w:t>
      </w:r>
      <w:r>
        <w:rPr>
          <w:rFonts w:ascii="Times New Roman" w:cs="Times New Roman" w:eastAsia="Times New Roman" w:hAnsi="Times New Roman"/>
          <w:sz w:val="14"/>
          <w:szCs w:val="14"/>
          <w:u w:val="single" w:color="auto"/>
          <w:color w:val="auto"/>
        </w:rPr>
        <w:t>Successors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10.12 </w:t>
      </w:r>
      <w:r>
        <w:rPr>
          <w:rFonts w:ascii="Times New Roman" w:cs="Times New Roman" w:eastAsia="Times New Roman" w:hAnsi="Times New Roman"/>
          <w:sz w:val="14"/>
          <w:szCs w:val="14"/>
          <w:u w:val="single" w:color="auto"/>
          <w:color w:val="auto"/>
        </w:rPr>
        <w:t>Severability</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10.13 </w:t>
      </w:r>
      <w:r>
        <w:rPr>
          <w:rFonts w:ascii="Times New Roman" w:cs="Times New Roman" w:eastAsia="Times New Roman" w:hAnsi="Times New Roman"/>
          <w:sz w:val="14"/>
          <w:szCs w:val="14"/>
          <w:u w:val="single" w:color="auto"/>
          <w:color w:val="auto"/>
        </w:rPr>
        <w:t>Table of Contents, Headings, etc.</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10.14 </w:t>
      </w:r>
      <w:r>
        <w:rPr>
          <w:rFonts w:ascii="Times New Roman" w:cs="Times New Roman" w:eastAsia="Times New Roman" w:hAnsi="Times New Roman"/>
          <w:sz w:val="14"/>
          <w:szCs w:val="14"/>
          <w:u w:val="single" w:color="auto"/>
          <w:color w:val="auto"/>
        </w:rPr>
        <w:t>Securities in a Foreign Currency or ECU</w:t>
      </w:r>
    </w:p>
    <w:p>
      <w:pPr>
        <w:spacing w:after="0" w:line="170" w:lineRule="exact"/>
        <w:rPr>
          <w:sz w:val="20"/>
          <w:szCs w:val="20"/>
          <w:color w:val="auto"/>
        </w:rPr>
      </w:pPr>
    </w:p>
    <w:p>
      <w:pPr>
        <w:jc w:val="both"/>
        <w:ind w:firstLine="745"/>
        <w:spacing w:after="0" w:line="249"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47"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10.15 </w:t>
      </w:r>
      <w:r>
        <w:rPr>
          <w:rFonts w:ascii="Times New Roman" w:cs="Times New Roman" w:eastAsia="Times New Roman" w:hAnsi="Times New Roman"/>
          <w:sz w:val="14"/>
          <w:szCs w:val="14"/>
          <w:u w:val="single" w:color="auto"/>
          <w:color w:val="auto"/>
        </w:rPr>
        <w:t>Judgment Currency</w:t>
      </w:r>
    </w:p>
    <w:p>
      <w:pPr>
        <w:spacing w:after="0" w:line="170" w:lineRule="exact"/>
        <w:rPr>
          <w:sz w:val="20"/>
          <w:szCs w:val="20"/>
          <w:color w:val="auto"/>
        </w:rPr>
      </w:pPr>
    </w:p>
    <w:p>
      <w:pPr>
        <w:jc w:val="both"/>
        <w:ind w:firstLine="745"/>
        <w:spacing w:after="0" w:line="249"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 into a currency in which a judgment will be rendered (the “</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 means any day except a Saturday, Sunday or a legal holiday in The City of New York on which banking institutions are authorized or required by law, regulation or executive order to close.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SINKING FUNDS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Applicability of Article</w:t>
      </w:r>
    </w:p>
    <w:p>
      <w:pPr>
        <w:spacing w:after="0" w:line="170" w:lineRule="exact"/>
        <w:rPr>
          <w:sz w:val="20"/>
          <w:szCs w:val="20"/>
          <w:color w:val="auto"/>
        </w:rPr>
      </w:pPr>
    </w:p>
    <w:p>
      <w:pPr>
        <w:jc w:val="both"/>
        <w:ind w:firstLine="745"/>
        <w:spacing w:after="0" w:line="273" w:lineRule="auto"/>
        <w:rPr>
          <w:sz w:val="20"/>
          <w:szCs w:val="20"/>
          <w:color w:val="auto"/>
        </w:rPr>
      </w:pPr>
      <w:r>
        <w:rPr>
          <w:rFonts w:ascii="Times New Roman" w:cs="Times New Roman" w:eastAsia="Times New Roman" w:hAnsi="Times New Roman"/>
          <w:sz w:val="14"/>
          <w:szCs w:val="14"/>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26" w:lineRule="exact"/>
        <w:rPr>
          <w:sz w:val="20"/>
          <w:szCs w:val="20"/>
          <w:color w:val="auto"/>
        </w:rPr>
      </w:pPr>
    </w:p>
    <w:p>
      <w:pPr>
        <w:jc w:val="both"/>
        <w:ind w:firstLine="745"/>
        <w:spacing w:after="0" w:line="257"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 and any other amount provided for by the terms of Securities of such Series is herein referred to as an “</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11.2 </w:t>
      </w:r>
      <w:r>
        <w:rPr>
          <w:rFonts w:ascii="Times New Roman" w:cs="Times New Roman" w:eastAsia="Times New Roman" w:hAnsi="Times New Roman"/>
          <w:sz w:val="14"/>
          <w:szCs w:val="14"/>
          <w:u w:val="single" w:color="auto"/>
          <w:color w:val="auto"/>
        </w:rPr>
        <w:t>Satisfaction of Sinking Fund Payments with Securities</w:t>
      </w:r>
    </w:p>
    <w:p>
      <w:pPr>
        <w:spacing w:after="0" w:line="170" w:lineRule="exact"/>
        <w:rPr>
          <w:sz w:val="20"/>
          <w:szCs w:val="20"/>
          <w:color w:val="auto"/>
        </w:rPr>
      </w:pPr>
    </w:p>
    <w:p>
      <w:pPr>
        <w:jc w:val="both"/>
        <w:ind w:firstLine="745"/>
        <w:spacing w:after="0" w:line="249" w:lineRule="auto"/>
        <w:rPr>
          <w:sz w:val="20"/>
          <w:szCs w:val="20"/>
          <w:color w:val="auto"/>
        </w:rPr>
      </w:pPr>
      <w:r>
        <w:rPr>
          <w:rFonts w:ascii="Times New Roman" w:cs="Times New Roman" w:eastAsia="Times New Roman" w:hAnsi="Times New Roman"/>
          <w:sz w:val="14"/>
          <w:szCs w:val="14"/>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Redemption of Securities for Sinking Fund</w:t>
      </w:r>
    </w:p>
    <w:p>
      <w:pPr>
        <w:spacing w:after="0" w:line="170" w:lineRule="exact"/>
        <w:rPr>
          <w:sz w:val="20"/>
          <w:szCs w:val="20"/>
          <w:color w:val="auto"/>
        </w:rPr>
      </w:pPr>
    </w:p>
    <w:p>
      <w:pPr>
        <w:jc w:val="both"/>
        <w:ind w:firstLine="745"/>
        <w:spacing w:after="0" w:line="250" w:lineRule="auto"/>
        <w:rPr>
          <w:sz w:val="20"/>
          <w:szCs w:val="20"/>
          <w:color w:val="auto"/>
        </w:rPr>
      </w:pPr>
      <w:r>
        <w:rPr>
          <w:rFonts w:ascii="Times New Roman" w:cs="Times New Roman" w:eastAsia="Times New Roman" w:hAnsi="Times New Roman"/>
          <w:sz w:val="14"/>
          <w:szCs w:val="14"/>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Indenture to be duly executed as of the day and year first above written.</w:t>
      </w:r>
    </w:p>
    <w:p>
      <w:pPr>
        <w:spacing w:after="0" w:line="1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Baird Medical Investment Holdings Limited</w:t>
      </w:r>
    </w:p>
    <w:p>
      <w:pPr>
        <w:spacing w:after="0" w:line="170" w:lineRule="exact"/>
        <w:rPr>
          <w:sz w:val="20"/>
          <w:szCs w:val="20"/>
          <w:color w:val="auto"/>
        </w:rPr>
      </w:pPr>
    </w:p>
    <w:p>
      <w:pPr>
        <w:ind w:left="4900"/>
        <w:spacing w:after="0"/>
        <w:tabs>
          <w:tab w:leader="none" w:pos="5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21754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3217545" cy="6350"/>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Its:</w:t>
      </w:r>
    </w:p>
    <w:p>
      <w:pPr>
        <w:spacing w:after="0" w:line="15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[__________],</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as Trustee</w:t>
      </w:r>
    </w:p>
    <w:p>
      <w:pPr>
        <w:spacing w:after="0" w:line="15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21754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3217545" cy="6350"/>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330835</wp:posOffset>
            </wp:positionV>
            <wp:extent cx="716470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419"/>
          </w:cols>
          <w:pgMar w:left="1040" w:top="726" w:right="1440" w:bottom="1440" w:gutter="0" w:footer="0" w:header="0"/>
        </w:sectPr>
      </w:pPr>
    </w:p>
    <w:bookmarkStart w:id="112" w:name="page113"/>
    <w:bookmarkEnd w:id="112"/>
    <w:p>
      <w:pPr>
        <w:ind w:left="10520"/>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 May 2026</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Matter No.:1017584</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Doc Ref: BXC/11186882</w:t>
      </w:r>
    </w:p>
    <w:p>
      <w:pPr>
        <w:spacing w:after="0" w:line="157"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3"/>
          <w:szCs w:val="13"/>
          <w:color w:val="auto"/>
        </w:rPr>
        <w:t>(852) 2842 9403</w:t>
      </w:r>
    </w:p>
    <w:p>
      <w:pPr>
        <w:spacing w:after="0" w:line="2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3"/>
          <w:szCs w:val="13"/>
          <w:u w:val="single" w:color="auto"/>
          <w:color w:val="auto"/>
        </w:rPr>
        <w:t>Beverly.Cheung@conyers.com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Baird Medical Investment Holdings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Cricket Square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Hutchins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 Box 2681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KY1-1111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 Baird Medical Investment Holdings Limited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We have acted as special Cayman Islands legal counsel to the Company in connection with the Company’s shelf registration statement on Form F-3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which term does not include any other document or agreement whether or not specifically referred to therein or attached as an exhibit or schedule thereto) filed by the Company with the U.S. Securities and Exchange Commission (the “</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on 22 May 2026 relating to the registration under the U.S.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of a prospectus (the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in connection with an offering by the Company of up to an aggregate offering price of up to US$50,000,000 from time to time, on a delayed or continuous basis, separately or in any combination in one or more series of</w:t>
      </w:r>
    </w:p>
    <w:p>
      <w:pPr>
        <w:spacing w:after="0" w:line="2" w:lineRule="exact"/>
        <w:rPr>
          <w:sz w:val="20"/>
          <w:szCs w:val="20"/>
          <w:color w:val="auto"/>
        </w:rPr>
      </w:pPr>
    </w:p>
    <w:p>
      <w:pPr>
        <w:jc w:val="both"/>
        <w:ind w:firstLine="3"/>
        <w:spacing w:after="0" w:line="248" w:lineRule="auto"/>
        <w:tabs>
          <w:tab w:leader="none" w:pos="1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of par value US$0.0001 per share of the Company (“</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(ii) preferred shares of par value US$0.0001 per share of the Company (“</w:t>
      </w:r>
      <w:r>
        <w:rPr>
          <w:rFonts w:ascii="Times New Roman" w:cs="Times New Roman" w:eastAsia="Times New Roman" w:hAnsi="Times New Roman"/>
          <w:sz w:val="14"/>
          <w:szCs w:val="14"/>
          <w:b w:val="1"/>
          <w:bCs w:val="1"/>
          <w:color w:val="auto"/>
        </w:rPr>
        <w:t>Preferred Shares</w:t>
      </w:r>
      <w:r>
        <w:rPr>
          <w:rFonts w:ascii="Times New Roman" w:cs="Times New Roman" w:eastAsia="Times New Roman" w:hAnsi="Times New Roman"/>
          <w:sz w:val="14"/>
          <w:szCs w:val="14"/>
          <w:color w:val="auto"/>
        </w:rPr>
        <w:t>”); (iii) debt securities that may include debt securities entitling the holders to convert or exchange, for redemption or purchase in extinguishment of debt, an amount of Ordinary Shares or Preferred Shares at the conversion or exchange price or rate a price as set out in one or more indentures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(iv) warrants to purchase Ordinary Shares, Preferred Shares or Debt Securities (as the case may be) at a price as set out in one or more warrant agreements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and (v) units as set out in one or more unit agreements to be made between the Company and one or more selling agents and/or underwriters or directly by the Company consisting of any combination of Ordinary Shares, Preferred Shares, Debt Securities and/or Warrants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and together with the Debt Securities and the Warrants, the “</w:t>
      </w:r>
      <w:r>
        <w:rPr>
          <w:rFonts w:ascii="Times New Roman" w:cs="Times New Roman" w:eastAsia="Times New Roman" w:hAnsi="Times New Roman"/>
          <w:sz w:val="14"/>
          <w:szCs w:val="14"/>
          <w:b w:val="1"/>
          <w:bCs w:val="1"/>
          <w:color w:val="auto"/>
        </w:rPr>
        <w:t>Non-Equity Securities</w:t>
      </w:r>
      <w:r>
        <w:rPr>
          <w:rFonts w:ascii="Times New Roman" w:cs="Times New Roman" w:eastAsia="Times New Roman" w:hAnsi="Times New Roman"/>
          <w:sz w:val="14"/>
          <w:szCs w:val="14"/>
          <w:color w:val="auto"/>
        </w:rPr>
        <w:t>” and collectively with the Ordinary Shares and the Preferred Shares,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as described in the Registration Statement (the “</w:t>
      </w: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716470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113" w:name="page114"/>
    <w:bookmarkEnd w:id="113"/>
    <w:p>
      <w:pPr>
        <w:ind w:left="500" w:hanging="497"/>
        <w:spacing w:after="0"/>
        <w:tabs>
          <w:tab w:leader="none" w:pos="50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REVIEWED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giving this opinion, we have examined copies of the following documents:</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the amended and restated memorandum and articles of association of the Company (collectively, the “</w:t>
      </w:r>
      <w:r>
        <w:rPr>
          <w:rFonts w:ascii="Times New Roman" w:cs="Times New Roman" w:eastAsia="Times New Roman" w:hAnsi="Times New Roman"/>
          <w:sz w:val="13"/>
          <w:szCs w:val="13"/>
          <w:b w:val="1"/>
          <w:bCs w:val="1"/>
          <w:color w:val="auto"/>
        </w:rPr>
        <w:t>M&amp;A</w:t>
      </w:r>
      <w:r>
        <w:rPr>
          <w:rFonts w:ascii="Times New Roman" w:cs="Times New Roman" w:eastAsia="Times New Roman" w:hAnsi="Times New Roman"/>
          <w:sz w:val="13"/>
          <w:szCs w:val="13"/>
          <w:color w:val="auto"/>
        </w:rPr>
        <w:t>”), both kept and maintained at the registered office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the Registration Statement;</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the resolutions in writing of all the directors of the Company dated 18 May 2026 (the “</w:t>
      </w:r>
      <w:r>
        <w:rPr>
          <w:rFonts w:ascii="Times New Roman" w:cs="Times New Roman" w:eastAsia="Times New Roman" w:hAnsi="Times New Roman"/>
          <w:sz w:val="13"/>
          <w:szCs w:val="13"/>
          <w:b w:val="1"/>
          <w:bCs w:val="1"/>
          <w:color w:val="auto"/>
        </w:rPr>
        <w:t>Resolutions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3"/>
          <w:szCs w:val="13"/>
          <w:color w:val="auto"/>
        </w:rPr>
        <w:t>a Certificate of Good Standing issued by the Registrar of Companies in relation to the Company on 20 May 2026 (the “</w:t>
      </w:r>
      <w:r>
        <w:rPr>
          <w:rFonts w:ascii="Times New Roman" w:cs="Times New Roman" w:eastAsia="Times New Roman" w:hAnsi="Times New Roman"/>
          <w:sz w:val="13"/>
          <w:szCs w:val="13"/>
          <w:b w:val="1"/>
          <w:bCs w:val="1"/>
          <w:color w:val="auto"/>
        </w:rPr>
        <w:t>Certificate Date</w:t>
      </w:r>
      <w:r>
        <w:rPr>
          <w:rFonts w:ascii="Times New Roman" w:cs="Times New Roman" w:eastAsia="Times New Roman" w:hAnsi="Times New Roman"/>
          <w:sz w:val="13"/>
          <w:szCs w:val="13"/>
          <w:color w:val="auto"/>
        </w:rPr>
        <w:t>”); and</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such other documents and made such enquiries as to questions of law as we have deemed necessary in order to render the opinion set forth below.</w:t>
      </w:r>
    </w:p>
    <w:p>
      <w:pPr>
        <w:spacing w:after="0" w:line="166" w:lineRule="exact"/>
        <w:rPr>
          <w:sz w:val="20"/>
          <w:szCs w:val="20"/>
          <w:color w:val="auto"/>
        </w:rPr>
      </w:pPr>
    </w:p>
    <w:p>
      <w:pPr>
        <w:ind w:left="500" w:hanging="497"/>
        <w:spacing w:after="0"/>
        <w:tabs>
          <w:tab w:leader="none" w:pos="5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assumed:</w:t>
      </w:r>
    </w:p>
    <w:p>
      <w:pPr>
        <w:spacing w:after="0" w:line="170" w:lineRule="exact"/>
        <w:rPr>
          <w:sz w:val="20"/>
          <w:szCs w:val="20"/>
          <w:color w:val="auto"/>
        </w:rPr>
      </w:pPr>
    </w:p>
    <w:p>
      <w:pPr>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the genuineness and authenticity of all signatures and the conformity to the originals of all copies (whether or not certified) examined by us and the accuracy, authenticity and completeness of the originals from which such copies were taken;</w:t>
      </w:r>
    </w:p>
    <w:p>
      <w:pPr>
        <w:spacing w:after="0" w:line="130" w:lineRule="exact"/>
        <w:rPr>
          <w:sz w:val="20"/>
          <w:szCs w:val="20"/>
          <w:color w:val="auto"/>
        </w:rPr>
      </w:pPr>
    </w:p>
    <w:p>
      <w:pPr>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26" w:lineRule="exact"/>
        <w:rPr>
          <w:sz w:val="20"/>
          <w:szCs w:val="20"/>
          <w:color w:val="auto"/>
        </w:rPr>
      </w:pPr>
    </w:p>
    <w:p>
      <w:pPr>
        <w:ind w:left="500" w:hanging="495"/>
        <w:spacing w:after="0" w:line="279" w:lineRule="auto"/>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 capacity, power and authority of each of the parties to the definitive agreements relating to the Debt Securities, Warrants and Units (the “</w:t>
      </w:r>
      <w:r>
        <w:rPr>
          <w:rFonts w:ascii="Times New Roman" w:cs="Times New Roman" w:eastAsia="Times New Roman" w:hAnsi="Times New Roman"/>
          <w:sz w:val="14"/>
          <w:szCs w:val="14"/>
          <w:b w:val="1"/>
          <w:bCs w:val="1"/>
          <w:color w:val="auto"/>
        </w:rPr>
        <w:t>Non-Equity Securities Agreements</w:t>
      </w:r>
      <w:r>
        <w:rPr>
          <w:rFonts w:ascii="Times New Roman" w:cs="Times New Roman" w:eastAsia="Times New Roman" w:hAnsi="Times New Roman"/>
          <w:sz w:val="14"/>
          <w:szCs w:val="14"/>
          <w:color w:val="auto"/>
        </w:rPr>
        <w:t>”) other than the Company, to enter into and perform its respective obligations under the Non-Equity Securities Agreements;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conyers.com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4" w:name="page115"/>
    <w:bookmarkEnd w:id="114"/>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accuracy and completeness of all factual representations made in the Non-Equity Securities Agreements, the Registration Statement, the Prospectus and other documents reviewed by us;</w:t>
      </w:r>
    </w:p>
    <w:p>
      <w:pPr>
        <w:spacing w:after="0" w:line="17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that the Resolutions were passed at one or more duly convened, constituted and quorate meetings or by unanimous written resolutions, remain in full force and effect and have not been rescinded or amended;</w:t>
      </w:r>
    </w:p>
    <w:p>
      <w:pPr>
        <w:spacing w:after="0" w:line="13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that there is no provision of the law of any jurisdiction, other than the Cayman Islands, which would have any implication in relation to the opinions expressed herein;</w:t>
      </w:r>
    </w:p>
    <w:p>
      <w:pPr>
        <w:spacing w:after="0" w:line="17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color w:val="auto"/>
        </w:rPr>
        <w:t>that on the date of allotment (where applicable) and issuance of any Securities, the Company is, and after any such allotment and issuance the Company is and will be able to, pay its liabilities as they become due;</w:t>
      </w:r>
    </w:p>
    <w:p>
      <w:pPr>
        <w:spacing w:after="0" w:line="13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3"/>
          <w:szCs w:val="13"/>
          <w:color w:val="auto"/>
        </w:rPr>
        <w:t>that the Company will issue the Securities in furtherance of its objects as set out in its memorandum of association;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3"/>
          <w:szCs w:val="13"/>
          <w:color w:val="auto"/>
        </w:rPr>
        <w:t>that the memorandum and articles of association of the Company will not be amended in any manner that would affect the opinions expressed herein;</w:t>
      </w:r>
    </w:p>
    <w:p>
      <w:pPr>
        <w:spacing w:after="0" w:line="17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2.10</w:t>
      </w:r>
      <w:r>
        <w:rPr>
          <w:sz w:val="20"/>
          <w:szCs w:val="20"/>
          <w:color w:val="auto"/>
        </w:rPr>
        <w:tab/>
      </w:r>
      <w:r>
        <w:rPr>
          <w:rFonts w:ascii="Times New Roman" w:cs="Times New Roman" w:eastAsia="Times New Roman" w:hAnsi="Times New Roman"/>
          <w:sz w:val="14"/>
          <w:szCs w:val="14"/>
          <w:color w:val="auto"/>
        </w:rPr>
        <w:t>that the Company will have sufficient authorised and unissued share capital to effect the issue of Ordinary Shares and Preferred Shares at the time of issuance, whether as a principal issue or on the conversion, exchange, or exercise of any Non-Equity Securities;</w:t>
      </w:r>
    </w:p>
    <w:p>
      <w:pPr>
        <w:spacing w:after="0" w:line="130" w:lineRule="exact"/>
        <w:rPr>
          <w:sz w:val="20"/>
          <w:szCs w:val="20"/>
          <w:color w:val="auto"/>
        </w:rPr>
      </w:pPr>
    </w:p>
    <w:p>
      <w:pPr>
        <w:jc w:val="both"/>
        <w:ind w:left="500" w:hanging="495"/>
        <w:spacing w:after="0" w:line="253" w:lineRule="auto"/>
        <w:tabs>
          <w:tab w:leader="none" w:pos="48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4"/>
          <w:szCs w:val="14"/>
          <w:color w:val="auto"/>
        </w:rPr>
        <w:t>that the form and terms of any and all Securities (including, without limitation, the designation, powers, preferences, rights, qualifications, limitations and restrictions of Preferred Shares) or other securities (or other obligations, rights, currencies, commodities or other subject matter) comprising the same or subject thereto (in the case of the Warrants), the issuance and sale of any Securities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nor any applicable law, regulation, order or decree in the Cayman Islands;</w:t>
      </w:r>
    </w:p>
    <w:p>
      <w:pPr>
        <w:spacing w:after="0" w:line="14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3"/>
          <w:szCs w:val="13"/>
          <w:color w:val="auto"/>
        </w:rPr>
        <w:t>that no invitation has been or will be made by or on behalf of the Company to the public in the Cayman Islands to subscribe for any Securities;</w:t>
      </w:r>
    </w:p>
    <w:p>
      <w:pPr>
        <w:spacing w:after="0" w:line="170"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4"/>
          <w:szCs w:val="14"/>
          <w:color w:val="auto"/>
        </w:rPr>
        <w:t xml:space="preserve">that all necessary corporate action will be taken to authorise and approve any issuance of the Securities (including, if Preferred Shares are to be issued, all necessary corporate action to establish one or more series of Preferred Shares and fix the designation, powers, preferences, rights, qualifications, limitations and restrictions thereof), the terms of any offering thereof and related matters, and that the Non-Equity Securities Agreements and any applicable supplements to the Prospectus (each, a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and any other purchase, underwriting or similar agreement thereto will be duly approved, executed and delivered by or on behalf of the Company and all other parties thereto;</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conyers.com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15" w:name="page116"/>
    <w:bookmarkEnd w:id="115"/>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4"/>
          <w:szCs w:val="14"/>
          <w:color w:val="auto"/>
        </w:rPr>
        <w:t>that upon the issue of any Ordinary Shares or Preferred Shares to be sold by the Company or upon exercise of the conversion or exchangeable rights or purchase rights to the Non-Equity Securities, the Company will receive consideration for the full issue price thereof which shall be equal to at least the par value thereof;</w:t>
      </w:r>
    </w:p>
    <w:p>
      <w:pPr>
        <w:spacing w:after="0" w:line="13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4"/>
          <w:szCs w:val="14"/>
          <w:color w:val="auto"/>
        </w:rPr>
        <w:t>that the Securities to be offered and sold, will be, legal, valid, binding and enforceable against all relevant parties in accordance with their terms pursuant to the applicable governing law and jurisdiction (except to the extent that we expressly opine herein on matters of Cayman Islands law);</w:t>
      </w:r>
    </w:p>
    <w:p>
      <w:pPr>
        <w:spacing w:after="0" w:line="13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2.16</w:t>
      </w:r>
      <w:r>
        <w:rPr>
          <w:sz w:val="20"/>
          <w:szCs w:val="20"/>
          <w:color w:val="auto"/>
        </w:rPr>
        <w:tab/>
      </w:r>
      <w:r>
        <w:rPr>
          <w:rFonts w:ascii="Times New Roman" w:cs="Times New Roman" w:eastAsia="Times New Roman" w:hAnsi="Times New Roman"/>
          <w:sz w:val="13"/>
          <w:szCs w:val="13"/>
          <w:color w:val="auto"/>
        </w:rPr>
        <w:t>that neither the Company nor any of its shareholders is a sovereign entity of any state and none of them is a subsidiary direct or indirect of any sovereign entity or state;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2.17</w:t>
      </w:r>
      <w:r>
        <w:rPr>
          <w:sz w:val="20"/>
          <w:szCs w:val="20"/>
          <w:color w:val="auto"/>
        </w:rPr>
        <w:tab/>
      </w:r>
      <w:r>
        <w:rPr>
          <w:rFonts w:ascii="Times New Roman" w:cs="Times New Roman" w:eastAsia="Times New Roman" w:hAnsi="Times New Roman"/>
          <w:sz w:val="14"/>
          <w:szCs w:val="14"/>
          <w:color w:val="auto"/>
        </w:rPr>
        <w:t>that the issuance and sale of and payment for the Securities will be in accordance with the Non-Equity Securities Agreements and any other purchase, underwriting or similar agreement duly approved by the board of directors of the Company and/or where so required, the shareholders of the Company and the Registration Statement (including the Prospectus, any post-effective amendment thereto and any Prospectus Supplement);</w:t>
      </w:r>
    </w:p>
    <w:p>
      <w:pPr>
        <w:spacing w:after="0" w:line="14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2.18</w:t>
      </w:r>
      <w:r>
        <w:rPr>
          <w:sz w:val="20"/>
          <w:szCs w:val="20"/>
          <w:color w:val="auto"/>
        </w:rPr>
        <w:tab/>
      </w:r>
      <w:r>
        <w:rPr>
          <w:rFonts w:ascii="Times New Roman" w:cs="Times New Roman" w:eastAsia="Times New Roman" w:hAnsi="Times New Roman"/>
          <w:sz w:val="13"/>
          <w:szCs w:val="13"/>
          <w:color w:val="auto"/>
        </w:rPr>
        <w:t>the validity and binding effect under the laws of the United States of America of the Registration Statement and that the Registration Statement will be duly filed with the Commission;</w:t>
      </w:r>
    </w:p>
    <w:p>
      <w:pPr>
        <w:spacing w:after="0" w:line="17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2.19</w:t>
      </w:r>
      <w:r>
        <w:rPr>
          <w:sz w:val="20"/>
          <w:szCs w:val="20"/>
          <w:color w:val="auto"/>
        </w:rPr>
        <w:tab/>
      </w:r>
      <w:r>
        <w:rPr>
          <w:rFonts w:ascii="Times New Roman" w:cs="Times New Roman" w:eastAsia="Times New Roman" w:hAnsi="Times New Roman"/>
          <w:sz w:val="14"/>
          <w:szCs w:val="14"/>
          <w:color w:val="auto"/>
        </w:rPr>
        <w:t>there is no contractual or other prohibition or restriction (other than as arising under Cayman Islands law) binding on the Company prohibiting or restricting it from entering into and performing its obligations under the Registration Statement and the Securities;</w:t>
      </w:r>
    </w:p>
    <w:p>
      <w:pPr>
        <w:spacing w:after="0" w:line="126" w:lineRule="exact"/>
        <w:rPr>
          <w:sz w:val="20"/>
          <w:szCs w:val="20"/>
          <w:color w:val="auto"/>
        </w:rPr>
      </w:pPr>
    </w:p>
    <w:p>
      <w:pPr>
        <w:jc w:val="both"/>
        <w:ind w:left="500" w:hanging="495"/>
        <w:spacing w:after="0" w:line="279" w:lineRule="auto"/>
        <w:tabs>
          <w:tab w:leader="none" w:pos="480" w:val="left"/>
        </w:tabs>
        <w:rPr>
          <w:sz w:val="20"/>
          <w:szCs w:val="20"/>
          <w:color w:val="auto"/>
        </w:rPr>
      </w:pPr>
      <w:r>
        <w:rPr>
          <w:rFonts w:ascii="Times New Roman" w:cs="Times New Roman" w:eastAsia="Times New Roman" w:hAnsi="Times New Roman"/>
          <w:sz w:val="14"/>
          <w:szCs w:val="14"/>
          <w:color w:val="auto"/>
        </w:rPr>
        <w:t>2.20</w:t>
      </w:r>
      <w:r>
        <w:rPr>
          <w:sz w:val="20"/>
          <w:szCs w:val="20"/>
          <w:color w:val="auto"/>
        </w:rPr>
        <w:tab/>
      </w:r>
      <w:r>
        <w:rPr>
          <w:rFonts w:ascii="Times New Roman" w:cs="Times New Roman" w:eastAsia="Times New Roman" w:hAnsi="Times New Roman"/>
          <w:sz w:val="14"/>
          <w:szCs w:val="14"/>
          <w:color w:val="auto"/>
        </w:rPr>
        <w:t>no restrictions notice (the “</w:t>
      </w:r>
      <w:r>
        <w:rPr>
          <w:rFonts w:ascii="Times New Roman" w:cs="Times New Roman" w:eastAsia="Times New Roman" w:hAnsi="Times New Roman"/>
          <w:sz w:val="14"/>
          <w:szCs w:val="14"/>
          <w:b w:val="1"/>
          <w:bCs w:val="1"/>
          <w:color w:val="auto"/>
        </w:rPr>
        <w:t>Restrictions Notice</w:t>
      </w:r>
      <w:r>
        <w:rPr>
          <w:rFonts w:ascii="Times New Roman" w:cs="Times New Roman" w:eastAsia="Times New Roman" w:hAnsi="Times New Roman"/>
          <w:sz w:val="14"/>
          <w:szCs w:val="14"/>
          <w:color w:val="auto"/>
        </w:rPr>
        <w:t>”) under the Companies Act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has been issued or will be issued with respect to or that may affect, directly or indirectly, any of the shares, interest, rights or obligations of the Company that are the subject of the transactions referred to in the Non-Equity Securities Agreements (the “</w:t>
      </w:r>
      <w:r>
        <w:rPr>
          <w:rFonts w:ascii="Times New Roman" w:cs="Times New Roman" w:eastAsia="Times New Roman" w:hAnsi="Times New Roman"/>
          <w:sz w:val="14"/>
          <w:szCs w:val="14"/>
          <w:b w:val="1"/>
          <w:bCs w:val="1"/>
          <w:color w:val="auto"/>
        </w:rPr>
        <w:t>Relevant Interests</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3"/>
          <w:szCs w:val="13"/>
          <w:color w:val="auto"/>
        </w:rPr>
        <w:t>that the Registration Statement has been declared effective by the Commission prior to, or concurrent with, the sale of the Securities pursuant to the Registration Statement;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2.22</w:t>
      </w:r>
      <w:r>
        <w:rPr>
          <w:sz w:val="20"/>
          <w:szCs w:val="20"/>
          <w:color w:val="auto"/>
        </w:rPr>
        <w:tab/>
      </w:r>
      <w:r>
        <w:rPr>
          <w:rFonts w:ascii="Times New Roman" w:cs="Times New Roman" w:eastAsia="Times New Roman" w:hAnsi="Times New Roman"/>
          <w:sz w:val="13"/>
          <w:szCs w:val="13"/>
          <w:color w:val="auto"/>
        </w:rPr>
        <w:t>that the Offering and the transactions contemplated thereunder comply with the requirements of the applicable rules of the Nasdaq Stock Market LLC;</w:t>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conyers.com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16" w:name="page117"/>
    <w:bookmarkEnd w:id="116"/>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2.23</w:t>
      </w:r>
      <w:r>
        <w:rPr>
          <w:sz w:val="20"/>
          <w:szCs w:val="20"/>
          <w:color w:val="auto"/>
        </w:rPr>
        <w:tab/>
      </w:r>
      <w:r>
        <w:rPr>
          <w:rFonts w:ascii="Times New Roman" w:cs="Times New Roman" w:eastAsia="Times New Roman" w:hAnsi="Times New Roman"/>
          <w:sz w:val="14"/>
          <w:szCs w:val="14"/>
          <w:color w:val="auto"/>
        </w:rPr>
        <w:t>prior to, at the time of, and immediately following the approval of the transactions contemplated by the Registration Statement, the Company was, or will be, able to pay its debts and has entered, or will enter, into the transactions contemplated by the Registration Statement for proper value and not with an intention to defraud or wilfully defeat an obligation owed to any creditor or with a view to giving a creditor a preference; and</w:t>
      </w:r>
    </w:p>
    <w:p>
      <w:pPr>
        <w:spacing w:after="0" w:line="14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2.24</w:t>
      </w:r>
      <w:r>
        <w:rPr>
          <w:sz w:val="20"/>
          <w:szCs w:val="20"/>
          <w:color w:val="auto"/>
        </w:rPr>
        <w:tab/>
      </w:r>
      <w:r>
        <w:rPr>
          <w:rFonts w:ascii="Times New Roman" w:cs="Times New Roman" w:eastAsia="Times New Roman" w:hAnsi="Times New Roman"/>
          <w:sz w:val="13"/>
          <w:szCs w:val="13"/>
          <w:color w:val="auto"/>
        </w:rPr>
        <w:t>the Company has not taken any action to appoint a restructuring officer.</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understand and further assume that (i) each holder of series A convertible preferred shares of par value US$0.0001 each of the Company (each a “Series A Holder”) has agreed to waive any right of first refusal, any pre-emption right or other similar rights under the M&amp;A or any other agreement to which such Series A Holder and the Company are bound by with respect to the issuance of Ordinary Shares and Preferred Shares and (ii) written confirmation of such waiver will be provided to the Company.</w:t>
      </w:r>
    </w:p>
    <w:p>
      <w:pPr>
        <w:spacing w:after="0" w:line="137" w:lineRule="exact"/>
        <w:rPr>
          <w:sz w:val="20"/>
          <w:szCs w:val="20"/>
          <w:color w:val="auto"/>
        </w:rPr>
      </w:pPr>
    </w:p>
    <w:p>
      <w:pPr>
        <w:ind w:left="500" w:hanging="497"/>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QUALIFICATIONS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color w:val="auto"/>
        </w:rPr>
        <w:t>The obligations of the Company in connection with any offer, issuance and sale of any Securities:</w:t>
      </w:r>
    </w:p>
    <w:p>
      <w:pPr>
        <w:spacing w:after="0" w:line="170" w:lineRule="exact"/>
        <w:rPr>
          <w:sz w:val="20"/>
          <w:szCs w:val="20"/>
          <w:color w:val="auto"/>
        </w:rPr>
      </w:pPr>
    </w:p>
    <w:p>
      <w:pPr>
        <w:jc w:val="both"/>
        <w:ind w:left="1000" w:hanging="501"/>
        <w:spacing w:after="0" w:line="259" w:lineRule="auto"/>
        <w:tabs>
          <w:tab w:leader="none" w:pos="1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the laws from time to time in effect relating to bankruptcy, insolvency, liquidation, possessory liens, rights of set off, reorganisation, amalgamation, merger, consolidation, moratorium, bribery, corruption, money laundering, terrorist financing, proliferation financing or any other laws or legal procedures, whether of a similar nature or otherwise, generally affecting the rights of creditors as well as applicable international sanctions;</w:t>
      </w:r>
    </w:p>
    <w:p>
      <w:pPr>
        <w:spacing w:after="0" w:line="140"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statutory limitation of the time within which proceedings may be brought;</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general principles of equity and, as such, specific performance and injunctive relief, being equitable remedies, may not be available;</w:t>
      </w:r>
    </w:p>
    <w:p>
      <w:pPr>
        <w:spacing w:after="0" w:line="169" w:lineRule="exact"/>
        <w:rPr>
          <w:rFonts w:ascii="Times New Roman" w:cs="Times New Roman" w:eastAsia="Times New Roman" w:hAnsi="Times New Roman"/>
          <w:sz w:val="14"/>
          <w:szCs w:val="14"/>
          <w:color w:val="auto"/>
        </w:rPr>
      </w:pPr>
    </w:p>
    <w:p>
      <w:pPr>
        <w:ind w:left="1000" w:hanging="501"/>
        <w:spacing w:after="0" w:line="273" w:lineRule="auto"/>
        <w:tabs>
          <w:tab w:leader="none" w:pos="1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be given effect to by a Cayman Islands court, whether or not it was applying foreign laws, if and to the extent they constitute the payment of an amount which is in the nature of a penalty;</w:t>
      </w:r>
    </w:p>
    <w:p>
      <w:pPr>
        <w:spacing w:after="0" w:line="130" w:lineRule="exact"/>
        <w:rPr>
          <w:rFonts w:ascii="Times New Roman" w:cs="Times New Roman" w:eastAsia="Times New Roman" w:hAnsi="Times New Roman"/>
          <w:sz w:val="14"/>
          <w:szCs w:val="14"/>
          <w:color w:val="auto"/>
        </w:rPr>
      </w:pPr>
    </w:p>
    <w:p>
      <w:pPr>
        <w:ind w:left="1000" w:hanging="501"/>
        <w:spacing w:after="0" w:line="273" w:lineRule="auto"/>
        <w:tabs>
          <w:tab w:leader="none" w:pos="1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applicable purchase, underwriting, or similar agreement and any other agreement or document relating to the issue of Ordinary Shares, may be subject to the common law rules that damages against the Company are only available where the purchaser of Ordinary Shares rescinds such agreement; and</w:t>
      </w:r>
    </w:p>
    <w:p>
      <w:pPr>
        <w:spacing w:after="0" w:line="130" w:lineRule="exact"/>
        <w:rPr>
          <w:rFonts w:ascii="Times New Roman" w:cs="Times New Roman" w:eastAsia="Times New Roman" w:hAnsi="Times New Roman"/>
          <w:sz w:val="14"/>
          <w:szCs w:val="14"/>
          <w:color w:val="auto"/>
        </w:rPr>
      </w:pPr>
    </w:p>
    <w:p>
      <w:pPr>
        <w:jc w:val="both"/>
        <w:ind w:left="1000" w:hanging="501"/>
        <w:spacing w:after="0" w:line="255" w:lineRule="auto"/>
        <w:tabs>
          <w:tab w:leader="none" w:pos="1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be given effect by a Cayman Islands court to the extent that they are to be performed in a jurisdiction outside the Cayman Islands and such performance would be illegal under the laws of that jurisdiction. Notwithstanding any contractual submission to the exclusive or non-exclusive jurisdiction of specific courts, a Cayman Islands court has inherent discretion to stay or allow proceedings in the Cayman Islands against the Company under the Securities if there are other proceedings in respect of those Securities simultaneously underway against the Company in another jurisdiction.</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conyers.com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17" w:name="page118"/>
    <w:bookmarkEnd w:id="117"/>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We express no opinion as to the enforceability of any provision of any document which provides for the payment of a specified rate of interest on the amount of a judgment after the date of judgment or which purports to fetter the statutory powers of the Company or which purports to grant exclusive jurisdiction to any courts.</w:t>
      </w:r>
    </w:p>
    <w:p>
      <w:pPr>
        <w:spacing w:after="0" w:line="13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Enforcement of the Non-Equity Securities Agreements to the extent they relate to the Relevant Interests may be affected or prohibited if a Restrictions Notice is issued in respect of such Relevant Interests in accordance with the Beneficial Ownership Transparency Act.</w:t>
      </w:r>
    </w:p>
    <w:p>
      <w:pPr>
        <w:spacing w:after="0" w:line="130" w:lineRule="exact"/>
        <w:rPr>
          <w:sz w:val="20"/>
          <w:szCs w:val="20"/>
          <w:color w:val="auto"/>
        </w:rPr>
      </w:pPr>
    </w:p>
    <w:p>
      <w:pPr>
        <w:jc w:val="both"/>
        <w:ind w:left="500" w:hanging="495"/>
        <w:spacing w:after="0" w:line="273" w:lineRule="auto"/>
        <w:tabs>
          <w:tab w:leader="none" w:pos="48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We express no opinion as to the meaning, validity or effect of any references to foreign (non-Cayman Islands) statutes, rules, regulations, codes, judicial authority or any other promulgations and any references to them in the Non-Equity Securities Agreements.</w:t>
      </w:r>
    </w:p>
    <w:p>
      <w:pPr>
        <w:spacing w:after="0" w:line="13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3"/>
          <w:szCs w:val="13"/>
          <w:color w:val="auto"/>
        </w:rPr>
        <w:t>We have not reviewed any of the Non-Equity Securities Agreements to be issued thereunder and our opinions are qualified accordingly.</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color w:val="auto"/>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the purposes of the filing of the Registration Statement and is not to be relied upon in respect of any other matter.</w:t>
      </w:r>
    </w:p>
    <w:p>
      <w:pPr>
        <w:spacing w:after="0" w:line="137" w:lineRule="exact"/>
        <w:rPr>
          <w:sz w:val="20"/>
          <w:szCs w:val="20"/>
          <w:color w:val="auto"/>
        </w:rPr>
      </w:pPr>
    </w:p>
    <w:p>
      <w:pPr>
        <w:ind w:left="500" w:hanging="497"/>
        <w:spacing w:after="0"/>
        <w:tabs>
          <w:tab w:leader="none" w:pos="50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basis of and subject to the foregoing, we are of the opinion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The Company is duly incorporated and existing under the law of the Cayman Islands and, based on the Certificate of Good Standing, is in good standing as at the Certificate Date. Pursuant to the Act, a company is deemed to be in good standing if all fees and penalties under the Act have been paid and the Registrar of Companies has no knowledge that the Company is in default under the Act.</w:t>
      </w:r>
    </w:p>
    <w:p>
      <w:pPr>
        <w:spacing w:after="0" w:line="141"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When issued and paid for as contemplated in the Non-Equity Securities Agreements, the Registration Statement, the Prospectus, any post-effective amendment thereto and any Prospectus Supplement, the Ordinary Shares and Preferred Shares will be validly issued, fully paid and non-assessable (which term when used herein means that no further sums are required to be paid by the holders thereof in connection with the issue thereof).</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references to our firm under the captions “Enforceability of Civil Liabilities” and “Legal Matters” in the prospectus forming a part of the Registration Statement.</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 Conyers Dill &amp; Pearman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Conyers Dill &amp; Pearman</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conyers.com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400" w:type="dxa"/>
            <w:vAlign w:val="bottom"/>
          </w:tcPr>
          <w:p>
            <w:pPr>
              <w:ind w:left="1420"/>
              <w:spacing w:after="0"/>
              <w:rPr>
                <w:sz w:val="20"/>
                <w:szCs w:val="20"/>
                <w:color w:val="auto"/>
              </w:rPr>
            </w:pPr>
            <w:r>
              <w:rPr>
                <w:rFonts w:ascii="Times New Roman" w:cs="Times New Roman" w:eastAsia="Times New Roman" w:hAnsi="Times New Roman"/>
                <w:sz w:val="11"/>
                <w:szCs w:val="11"/>
                <w:b w:val="1"/>
                <w:bCs w:val="1"/>
                <w:color w:val="auto"/>
              </w:rPr>
              <w:t>Baker &amp; McKenzie LLP</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3400" w:type="dxa"/>
            <w:vAlign w:val="bottom"/>
          </w:tcPr>
          <w:p>
            <w:pPr>
              <w:ind w:left="1420"/>
              <w:spacing w:after="0"/>
              <w:rPr>
                <w:sz w:val="20"/>
                <w:szCs w:val="20"/>
                <w:color w:val="auto"/>
              </w:rPr>
            </w:pPr>
            <w:r>
              <w:rPr>
                <w:rFonts w:ascii="Times New Roman" w:cs="Times New Roman" w:eastAsia="Times New Roman" w:hAnsi="Times New Roman"/>
                <w:sz w:val="11"/>
                <w:szCs w:val="11"/>
                <w:color w:val="auto"/>
              </w:rPr>
              <w:t>Suite 3401, China World Office 2</w:t>
            </w:r>
          </w:p>
        </w:tc>
        <w:tc>
          <w:tcPr>
            <w:tcW w:w="0" w:type="dxa"/>
            <w:vAlign w:val="bottom"/>
          </w:tcPr>
          <w:p>
            <w:pPr>
              <w:spacing w:after="0"/>
              <w:rPr>
                <w:sz w:val="1"/>
                <w:szCs w:val="1"/>
                <w:color w:val="auto"/>
              </w:rPr>
            </w:pPr>
          </w:p>
        </w:tc>
      </w:tr>
      <w:tr>
        <w:trPr>
          <w:trHeight w:val="114"/>
        </w:trPr>
        <w:tc>
          <w:tcPr>
            <w:tcW w:w="17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400" w:type="dxa"/>
            <w:vAlign w:val="bottom"/>
          </w:tcPr>
          <w:p>
            <w:pPr>
              <w:ind w:left="1420"/>
              <w:spacing w:after="0" w:line="114" w:lineRule="exact"/>
              <w:rPr>
                <w:sz w:val="20"/>
                <w:szCs w:val="20"/>
                <w:color w:val="auto"/>
              </w:rPr>
            </w:pPr>
            <w:r>
              <w:rPr>
                <w:rFonts w:ascii="Times New Roman" w:cs="Times New Roman" w:eastAsia="Times New Roman" w:hAnsi="Times New Roman"/>
                <w:sz w:val="11"/>
                <w:szCs w:val="11"/>
                <w:color w:val="auto"/>
              </w:rPr>
              <w:t>China World Trade Centre</w:t>
            </w:r>
          </w:p>
        </w:tc>
        <w:tc>
          <w:tcPr>
            <w:tcW w:w="0" w:type="dxa"/>
            <w:vAlign w:val="bottom"/>
          </w:tcPr>
          <w:p>
            <w:pPr>
              <w:spacing w:after="0"/>
              <w:rPr>
                <w:sz w:val="1"/>
                <w:szCs w:val="1"/>
                <w:color w:val="auto"/>
              </w:rPr>
            </w:pPr>
          </w:p>
        </w:tc>
      </w:tr>
      <w:tr>
        <w:trPr>
          <w:trHeight w:val="114"/>
        </w:trPr>
        <w:tc>
          <w:tcPr>
            <w:tcW w:w="17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400" w:type="dxa"/>
            <w:vAlign w:val="bottom"/>
          </w:tcPr>
          <w:p>
            <w:pPr>
              <w:ind w:left="1420"/>
              <w:spacing w:after="0" w:line="114" w:lineRule="exact"/>
              <w:rPr>
                <w:sz w:val="20"/>
                <w:szCs w:val="20"/>
                <w:color w:val="auto"/>
              </w:rPr>
            </w:pPr>
            <w:r>
              <w:rPr>
                <w:rFonts w:ascii="Times New Roman" w:cs="Times New Roman" w:eastAsia="Times New Roman" w:hAnsi="Times New Roman"/>
                <w:sz w:val="11"/>
                <w:szCs w:val="11"/>
                <w:color w:val="auto"/>
              </w:rPr>
              <w:t>1 Jianguomenwai Dajie</w:t>
            </w:r>
          </w:p>
        </w:tc>
        <w:tc>
          <w:tcPr>
            <w:tcW w:w="0" w:type="dxa"/>
            <w:vAlign w:val="bottom"/>
          </w:tcPr>
          <w:p>
            <w:pPr>
              <w:spacing w:after="0"/>
              <w:rPr>
                <w:sz w:val="1"/>
                <w:szCs w:val="1"/>
                <w:color w:val="auto"/>
              </w:rPr>
            </w:pPr>
          </w:p>
        </w:tc>
      </w:tr>
      <w:tr>
        <w:trPr>
          <w:trHeight w:val="114"/>
        </w:trPr>
        <w:tc>
          <w:tcPr>
            <w:tcW w:w="17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400" w:type="dxa"/>
            <w:vAlign w:val="bottom"/>
          </w:tcPr>
          <w:p>
            <w:pPr>
              <w:ind w:left="1420"/>
              <w:spacing w:after="0" w:line="114" w:lineRule="exact"/>
              <w:rPr>
                <w:sz w:val="20"/>
                <w:szCs w:val="20"/>
                <w:color w:val="auto"/>
              </w:rPr>
            </w:pPr>
            <w:r>
              <w:rPr>
                <w:rFonts w:ascii="Times New Roman" w:cs="Times New Roman" w:eastAsia="Times New Roman" w:hAnsi="Times New Roman"/>
                <w:sz w:val="11"/>
                <w:szCs w:val="11"/>
                <w:color w:val="auto"/>
              </w:rPr>
              <w:t>Beijing 100004</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400" w:type="dxa"/>
            <w:vAlign w:val="bottom"/>
          </w:tcPr>
          <w:p>
            <w:pPr>
              <w:ind w:left="1420"/>
              <w:spacing w:after="0"/>
              <w:rPr>
                <w:sz w:val="20"/>
                <w:szCs w:val="20"/>
                <w:color w:val="auto"/>
              </w:rPr>
            </w:pPr>
            <w:r>
              <w:rPr>
                <w:rFonts w:ascii="Times New Roman" w:cs="Times New Roman" w:eastAsia="Times New Roman" w:hAnsi="Times New Roman"/>
                <w:sz w:val="11"/>
                <w:szCs w:val="11"/>
                <w:color w:val="auto"/>
              </w:rPr>
              <w:t>People’s Republic of China</w:t>
            </w:r>
          </w:p>
        </w:tc>
        <w:tc>
          <w:tcPr>
            <w:tcW w:w="0" w:type="dxa"/>
            <w:vAlign w:val="bottom"/>
          </w:tcPr>
          <w:p>
            <w:pPr>
              <w:spacing w:after="0"/>
              <w:rPr>
                <w:sz w:val="1"/>
                <w:szCs w:val="1"/>
                <w:color w:val="auto"/>
              </w:rPr>
            </w:pPr>
          </w:p>
        </w:tc>
      </w:tr>
      <w:tr>
        <w:trPr>
          <w:trHeight w:val="238"/>
        </w:trPr>
        <w:tc>
          <w:tcPr>
            <w:tcW w:w="17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6180" w:type="dxa"/>
            <w:vAlign w:val="bottom"/>
          </w:tcPr>
          <w:p>
            <w:pPr>
              <w:spacing w:after="0"/>
              <w:rPr>
                <w:sz w:val="20"/>
                <w:szCs w:val="20"/>
                <w:color w:val="auto"/>
              </w:rPr>
            </w:pPr>
          </w:p>
        </w:tc>
        <w:tc>
          <w:tcPr>
            <w:tcW w:w="3400" w:type="dxa"/>
            <w:vAlign w:val="bottom"/>
          </w:tcPr>
          <w:p>
            <w:pPr>
              <w:ind w:left="1420"/>
              <w:spacing w:after="0" w:line="134" w:lineRule="exact"/>
              <w:rPr>
                <w:sz w:val="20"/>
                <w:szCs w:val="20"/>
                <w:color w:val="auto"/>
              </w:rPr>
            </w:pPr>
            <w:r>
              <w:rPr>
                <w:rFonts w:ascii="SimSun" w:cs="SimSun" w:eastAsia="SimSun" w:hAnsi="SimSun"/>
                <w:sz w:val="11"/>
                <w:szCs w:val="11"/>
                <w:color w:val="auto"/>
              </w:rPr>
              <w:t>中国北京建国门外大街</w:t>
            </w:r>
            <w:r>
              <w:rPr>
                <w:rFonts w:ascii="Times New Roman" w:cs="Times New Roman" w:eastAsia="Times New Roman" w:hAnsi="Times New Roman"/>
                <w:sz w:val="11"/>
                <w:szCs w:val="11"/>
                <w:color w:val="auto"/>
              </w:rPr>
              <w:t>1</w:t>
            </w:r>
            <w:r>
              <w:rPr>
                <w:rFonts w:ascii="SimSun" w:cs="SimSun" w:eastAsia="SimSun" w:hAnsi="SimSun"/>
                <w:sz w:val="11"/>
                <w:szCs w:val="11"/>
                <w:color w:val="auto"/>
              </w:rPr>
              <w:t>号</w:t>
            </w: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6180" w:type="dxa"/>
            <w:vAlign w:val="bottom"/>
          </w:tcPr>
          <w:p>
            <w:pPr>
              <w:spacing w:after="0"/>
              <w:rPr>
                <w:sz w:val="6"/>
                <w:szCs w:val="6"/>
                <w:color w:val="auto"/>
              </w:rPr>
            </w:pPr>
          </w:p>
        </w:tc>
        <w:tc>
          <w:tcPr>
            <w:tcW w:w="3400" w:type="dxa"/>
            <w:vAlign w:val="bottom"/>
            <w:vMerge w:val="restart"/>
          </w:tcPr>
          <w:p>
            <w:pPr>
              <w:ind w:left="1420"/>
              <w:spacing w:after="0" w:line="126" w:lineRule="exact"/>
              <w:rPr>
                <w:sz w:val="20"/>
                <w:szCs w:val="20"/>
                <w:color w:val="auto"/>
              </w:rPr>
            </w:pPr>
            <w:r>
              <w:rPr>
                <w:rFonts w:ascii="SimSun" w:cs="SimSun" w:eastAsia="SimSun" w:hAnsi="SimSun"/>
                <w:sz w:val="11"/>
                <w:szCs w:val="11"/>
                <w:color w:val="auto"/>
              </w:rPr>
              <w:t>中国国际贸易中心</w:t>
            </w:r>
          </w:p>
        </w:tc>
        <w:tc>
          <w:tcPr>
            <w:tcW w:w="0" w:type="dxa"/>
            <w:vAlign w:val="bottom"/>
          </w:tcPr>
          <w:p>
            <w:pPr>
              <w:spacing w:after="0"/>
              <w:rPr>
                <w:sz w:val="1"/>
                <w:szCs w:val="1"/>
                <w:color w:val="auto"/>
              </w:rPr>
            </w:pPr>
          </w:p>
        </w:tc>
      </w:tr>
      <w:tr>
        <w:trPr>
          <w:trHeight w:val="70"/>
        </w:trPr>
        <w:tc>
          <w:tcPr>
            <w:tcW w:w="1700" w:type="dxa"/>
            <w:vAlign w:val="bottom"/>
            <w:vMerge w:val="restart"/>
          </w:tcPr>
          <w:p>
            <w:pPr>
              <w:spacing w:after="0" w:line="114" w:lineRule="exact"/>
              <w:rPr>
                <w:sz w:val="20"/>
                <w:szCs w:val="20"/>
                <w:color w:val="auto"/>
              </w:rPr>
            </w:pPr>
            <w:r>
              <w:rPr>
                <w:rFonts w:ascii="Times New Roman" w:cs="Times New Roman" w:eastAsia="Times New Roman" w:hAnsi="Times New Roman"/>
                <w:sz w:val="11"/>
                <w:szCs w:val="11"/>
                <w:color w:val="auto"/>
              </w:rPr>
              <w:t>Bangkok</w:t>
            </w:r>
          </w:p>
        </w:tc>
        <w:tc>
          <w:tcPr>
            <w:tcW w:w="618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1700" w:type="dxa"/>
            <w:vAlign w:val="bottom"/>
            <w:vMerge w:val="continue"/>
          </w:tcPr>
          <w:p>
            <w:pPr>
              <w:spacing w:after="0"/>
              <w:rPr>
                <w:sz w:val="3"/>
                <w:szCs w:val="3"/>
                <w:color w:val="auto"/>
              </w:rPr>
            </w:pPr>
          </w:p>
        </w:tc>
        <w:tc>
          <w:tcPr>
            <w:tcW w:w="6180" w:type="dxa"/>
            <w:vAlign w:val="bottom"/>
          </w:tcPr>
          <w:p>
            <w:pPr>
              <w:spacing w:after="0"/>
              <w:rPr>
                <w:sz w:val="3"/>
                <w:szCs w:val="3"/>
                <w:color w:val="auto"/>
              </w:rPr>
            </w:pPr>
          </w:p>
        </w:tc>
        <w:tc>
          <w:tcPr>
            <w:tcW w:w="3400" w:type="dxa"/>
            <w:vAlign w:val="bottom"/>
            <w:vMerge w:val="restart"/>
          </w:tcPr>
          <w:p>
            <w:pPr>
              <w:ind w:left="1420"/>
              <w:spacing w:after="0" w:line="134" w:lineRule="exact"/>
              <w:rPr>
                <w:sz w:val="20"/>
                <w:szCs w:val="20"/>
                <w:color w:val="auto"/>
              </w:rPr>
            </w:pPr>
            <w:r>
              <w:rPr>
                <w:rFonts w:ascii="SimSun" w:cs="SimSun" w:eastAsia="SimSun" w:hAnsi="SimSun"/>
                <w:sz w:val="11"/>
                <w:szCs w:val="11"/>
                <w:color w:val="auto"/>
              </w:rPr>
              <w:t>国贸写字楼</w:t>
            </w:r>
            <w:r>
              <w:rPr>
                <w:rFonts w:ascii="Times New Roman" w:cs="Times New Roman" w:eastAsia="Times New Roman" w:hAnsi="Times New Roman"/>
                <w:sz w:val="11"/>
                <w:szCs w:val="11"/>
                <w:color w:val="auto"/>
              </w:rPr>
              <w:t xml:space="preserve"> 2</w:t>
            </w:r>
            <w:r>
              <w:rPr>
                <w:rFonts w:ascii="SimSun" w:cs="SimSun" w:eastAsia="SimSun" w:hAnsi="SimSun"/>
                <w:sz w:val="11"/>
                <w:szCs w:val="11"/>
                <w:color w:val="auto"/>
              </w:rPr>
              <w:t>座</w:t>
            </w:r>
            <w:r>
              <w:rPr>
                <w:rFonts w:ascii="Times New Roman" w:cs="Times New Roman" w:eastAsia="Times New Roman" w:hAnsi="Times New Roman"/>
                <w:sz w:val="11"/>
                <w:szCs w:val="11"/>
                <w:color w:val="auto"/>
              </w:rPr>
              <w:t xml:space="preserve"> 3401</w:t>
            </w:r>
            <w:r>
              <w:rPr>
                <w:rFonts w:ascii="SimSun" w:cs="SimSun" w:eastAsia="SimSun" w:hAnsi="SimSun"/>
                <w:sz w:val="11"/>
                <w:szCs w:val="11"/>
                <w:color w:val="auto"/>
              </w:rPr>
              <w:t>室</w:t>
            </w: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Beijing</w:t>
            </w:r>
          </w:p>
        </w:tc>
        <w:tc>
          <w:tcPr>
            <w:tcW w:w="618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Brisbane</w:t>
            </w:r>
          </w:p>
        </w:tc>
        <w:tc>
          <w:tcPr>
            <w:tcW w:w="6180" w:type="dxa"/>
            <w:vAlign w:val="bottom"/>
          </w:tcPr>
          <w:p>
            <w:pPr>
              <w:spacing w:after="0"/>
              <w:rPr>
                <w:sz w:val="12"/>
                <w:szCs w:val="12"/>
                <w:color w:val="auto"/>
              </w:rPr>
            </w:pPr>
          </w:p>
        </w:tc>
        <w:tc>
          <w:tcPr>
            <w:tcW w:w="3400" w:type="dxa"/>
            <w:vAlign w:val="bottom"/>
          </w:tcPr>
          <w:p>
            <w:pPr>
              <w:ind w:left="1420"/>
              <w:spacing w:after="0" w:line="134" w:lineRule="exact"/>
              <w:rPr>
                <w:sz w:val="20"/>
                <w:szCs w:val="20"/>
                <w:color w:val="auto"/>
              </w:rPr>
            </w:pPr>
            <w:r>
              <w:rPr>
                <w:rFonts w:ascii="SimSun" w:cs="SimSun" w:eastAsia="SimSun" w:hAnsi="SimSun"/>
                <w:sz w:val="11"/>
                <w:szCs w:val="11"/>
                <w:color w:val="auto"/>
              </w:rPr>
              <w:t>邮编</w:t>
            </w:r>
            <w:r>
              <w:rPr>
                <w:rFonts w:ascii="Times New Roman" w:cs="Times New Roman" w:eastAsia="Times New Roman" w:hAnsi="Times New Roman"/>
                <w:sz w:val="11"/>
                <w:szCs w:val="11"/>
                <w:color w:val="auto"/>
              </w:rPr>
              <w:t>: 100004</w:t>
            </w: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Hanoi</w:t>
            </w:r>
          </w:p>
        </w:tc>
        <w:tc>
          <w:tcPr>
            <w:tcW w:w="6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May 22, 2026</w:t>
            </w:r>
          </w:p>
        </w:tc>
        <w:tc>
          <w:tcPr>
            <w:tcW w:w="3400" w:type="dxa"/>
            <w:vAlign w:val="bottom"/>
          </w:tcPr>
          <w:p>
            <w:pPr>
              <w:ind w:left="1420"/>
              <w:spacing w:after="0"/>
              <w:rPr>
                <w:sz w:val="20"/>
                <w:szCs w:val="20"/>
                <w:color w:val="auto"/>
              </w:rPr>
            </w:pPr>
            <w:r>
              <w:rPr>
                <w:rFonts w:ascii="Times New Roman" w:cs="Times New Roman" w:eastAsia="Times New Roman" w:hAnsi="Times New Roman"/>
                <w:sz w:val="11"/>
                <w:szCs w:val="11"/>
                <w:color w:val="auto"/>
              </w:rPr>
              <w:t>Tel: +86 10 6535 3800</w:t>
            </w:r>
          </w:p>
        </w:tc>
        <w:tc>
          <w:tcPr>
            <w:tcW w:w="0" w:type="dxa"/>
            <w:vAlign w:val="bottom"/>
          </w:tcPr>
          <w:p>
            <w:pPr>
              <w:spacing w:after="0"/>
              <w:rPr>
                <w:sz w:val="1"/>
                <w:szCs w:val="1"/>
                <w:color w:val="auto"/>
              </w:rPr>
            </w:pPr>
          </w:p>
        </w:tc>
      </w:tr>
      <w:tr>
        <w:trPr>
          <w:trHeight w:val="86"/>
        </w:trPr>
        <w:tc>
          <w:tcPr>
            <w:tcW w:w="17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Ho Chi Minh City</w:t>
            </w:r>
          </w:p>
        </w:tc>
        <w:tc>
          <w:tcPr>
            <w:tcW w:w="6180" w:type="dxa"/>
            <w:vAlign w:val="bottom"/>
          </w:tcPr>
          <w:p>
            <w:pPr>
              <w:spacing w:after="0"/>
              <w:rPr>
                <w:sz w:val="7"/>
                <w:szCs w:val="7"/>
                <w:color w:val="auto"/>
              </w:rPr>
            </w:pPr>
          </w:p>
        </w:tc>
        <w:tc>
          <w:tcPr>
            <w:tcW w:w="3400" w:type="dxa"/>
            <w:vAlign w:val="bottom"/>
          </w:tcPr>
          <w:p>
            <w:pPr>
              <w:ind w:left="1420"/>
              <w:spacing w:after="0" w:line="87" w:lineRule="exact"/>
              <w:rPr>
                <w:sz w:val="20"/>
                <w:szCs w:val="20"/>
                <w:color w:val="auto"/>
              </w:rPr>
            </w:pPr>
            <w:r>
              <w:rPr>
                <w:rFonts w:ascii="Times New Roman" w:cs="Times New Roman" w:eastAsia="Times New Roman" w:hAnsi="Times New Roman"/>
                <w:sz w:val="10"/>
                <w:szCs w:val="10"/>
                <w:color w:val="auto"/>
              </w:rPr>
              <w:t>Fax: +86 10 6505 2309</w:t>
            </w: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Hong Kong</w:t>
            </w:r>
          </w:p>
        </w:tc>
        <w:tc>
          <w:tcPr>
            <w:tcW w:w="6180" w:type="dxa"/>
            <w:vAlign w:val="bottom"/>
          </w:tcPr>
          <w:p>
            <w:pPr>
              <w:spacing w:after="0"/>
              <w:rPr>
                <w:sz w:val="9"/>
                <w:szCs w:val="9"/>
                <w:color w:val="auto"/>
              </w:rPr>
            </w:pPr>
          </w:p>
        </w:tc>
        <w:tc>
          <w:tcPr>
            <w:tcW w:w="3400" w:type="dxa"/>
            <w:vAlign w:val="bottom"/>
          </w:tcPr>
          <w:p>
            <w:pPr>
              <w:ind w:left="1420"/>
              <w:spacing w:after="0" w:line="114" w:lineRule="exact"/>
              <w:rPr>
                <w:sz w:val="20"/>
                <w:szCs w:val="20"/>
                <w:color w:val="auto"/>
              </w:rPr>
            </w:pPr>
            <w:r>
              <w:rPr>
                <w:rFonts w:ascii="Times New Roman" w:cs="Times New Roman" w:eastAsia="Times New Roman" w:hAnsi="Times New Roman"/>
                <w:sz w:val="11"/>
                <w:szCs w:val="11"/>
                <w:color w:val="auto"/>
              </w:rPr>
              <w:t>chinalaw@bakermckenzie.com</w:t>
            </w: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Jakarta</w:t>
            </w:r>
          </w:p>
        </w:tc>
        <w:tc>
          <w:tcPr>
            <w:tcW w:w="6180" w:type="dxa"/>
            <w:vAlign w:val="bottom"/>
          </w:tcPr>
          <w:p>
            <w:pPr>
              <w:spacing w:after="0"/>
              <w:rPr>
                <w:sz w:val="9"/>
                <w:szCs w:val="9"/>
                <w:color w:val="auto"/>
              </w:rPr>
            </w:pPr>
          </w:p>
        </w:tc>
        <w:tc>
          <w:tcPr>
            <w:tcW w:w="3400" w:type="dxa"/>
            <w:vAlign w:val="bottom"/>
          </w:tcPr>
          <w:p>
            <w:pPr>
              <w:ind w:left="1420"/>
              <w:spacing w:after="0" w:line="114" w:lineRule="exact"/>
              <w:rPr>
                <w:sz w:val="20"/>
                <w:szCs w:val="20"/>
                <w:color w:val="auto"/>
              </w:rPr>
            </w:pPr>
            <w:r>
              <w:rPr>
                <w:rFonts w:ascii="Times New Roman" w:cs="Times New Roman" w:eastAsia="Times New Roman" w:hAnsi="Times New Roman"/>
                <w:sz w:val="11"/>
                <w:szCs w:val="11"/>
                <w:color w:val="auto"/>
              </w:rPr>
              <w:t>www.bakermckenzie.com</w:t>
            </w: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Kuala Lumpur*</w:t>
            </w:r>
          </w:p>
        </w:tc>
        <w:tc>
          <w:tcPr>
            <w:tcW w:w="61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Manila*</w:t>
            </w:r>
          </w:p>
        </w:tc>
        <w:tc>
          <w:tcPr>
            <w:tcW w:w="61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Melbourne</w:t>
            </w:r>
          </w:p>
        </w:tc>
        <w:tc>
          <w:tcPr>
            <w:tcW w:w="6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Baird Medical Investment Holdings Limited</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17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Seoul</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Room 202, 2/F, Baide Building</w:t>
            </w: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Shanghai</w:t>
            </w:r>
          </w:p>
        </w:tc>
        <w:tc>
          <w:tcPr>
            <w:tcW w:w="618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Singapore</w:t>
            </w:r>
          </w:p>
        </w:tc>
        <w:tc>
          <w:tcPr>
            <w:tcW w:w="6180" w:type="dxa"/>
            <w:vAlign w:val="bottom"/>
          </w:tcPr>
          <w:p>
            <w:pPr>
              <w:ind w:left="280"/>
              <w:spacing w:after="0" w:line="135" w:lineRule="exact"/>
              <w:rPr>
                <w:sz w:val="20"/>
                <w:szCs w:val="20"/>
                <w:color w:val="auto"/>
              </w:rPr>
            </w:pPr>
            <w:r>
              <w:rPr>
                <w:rFonts w:ascii="Times New Roman" w:cs="Times New Roman" w:eastAsia="Times New Roman" w:hAnsi="Times New Roman"/>
                <w:sz w:val="14"/>
                <w:szCs w:val="14"/>
                <w:color w:val="auto"/>
              </w:rPr>
              <w:t>Building 11, No.15</w:t>
            </w: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Sydney</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Rongtong Street, Yuexiu District, Guangzhou</w:t>
            </w: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Taipei</w:t>
            </w:r>
          </w:p>
        </w:tc>
        <w:tc>
          <w:tcPr>
            <w:tcW w:w="618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Tokyo</w:t>
            </w:r>
          </w:p>
        </w:tc>
        <w:tc>
          <w:tcPr>
            <w:tcW w:w="61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Yangon</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70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Europe, Middle East &amp; Africa</w:t>
            </w:r>
          </w:p>
        </w:tc>
        <w:tc>
          <w:tcPr>
            <w:tcW w:w="61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Abu Dhabi</w:t>
            </w:r>
          </w:p>
        </w:tc>
        <w:tc>
          <w:tcPr>
            <w:tcW w:w="6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Re: Registration Statement on Form F-3</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700" w:type="dxa"/>
            <w:vAlign w:val="bottom"/>
          </w:tcPr>
          <w:p>
            <w:pPr>
              <w:spacing w:after="0" w:line="66" w:lineRule="exact"/>
              <w:rPr>
                <w:sz w:val="20"/>
                <w:szCs w:val="20"/>
                <w:color w:val="auto"/>
              </w:rPr>
            </w:pPr>
            <w:r>
              <w:rPr>
                <w:rFonts w:ascii="Times New Roman" w:cs="Times New Roman" w:eastAsia="Times New Roman" w:hAnsi="Times New Roman"/>
                <w:sz w:val="7"/>
                <w:szCs w:val="7"/>
                <w:color w:val="auto"/>
              </w:rPr>
              <w:t>Almaty</w:t>
            </w:r>
          </w:p>
        </w:tc>
        <w:tc>
          <w:tcPr>
            <w:tcW w:w="6180" w:type="dxa"/>
            <w:vAlign w:val="bottom"/>
          </w:tcPr>
          <w:p>
            <w:pPr>
              <w:spacing w:after="0"/>
              <w:rPr>
                <w:sz w:val="5"/>
                <w:szCs w:val="5"/>
                <w:color w:val="auto"/>
              </w:rPr>
            </w:pP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Amsterdam</w:t>
            </w:r>
          </w:p>
        </w:tc>
        <w:tc>
          <w:tcPr>
            <w:tcW w:w="61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Antwerp</w:t>
            </w:r>
          </w:p>
        </w:tc>
        <w:tc>
          <w:tcPr>
            <w:tcW w:w="618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color w:val="auto"/>
              </w:rPr>
              <w:t>Ladies and Gentlemen:</w:t>
            </w: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70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Bahrain</w:t>
            </w:r>
          </w:p>
        </w:tc>
        <w:tc>
          <w:tcPr>
            <w:tcW w:w="61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Barcelona</w:t>
            </w:r>
          </w:p>
        </w:tc>
        <w:tc>
          <w:tcPr>
            <w:tcW w:w="61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Berlin</w:t>
            </w:r>
          </w:p>
        </w:tc>
        <w:tc>
          <w:tcPr>
            <w:tcW w:w="95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We have acted as special United States counsel to Baird Medical Investment Holdings Limited, an exempted company incorporated in the Cayman Islands with</w:t>
            </w:r>
          </w:p>
        </w:tc>
        <w:tc>
          <w:tcPr>
            <w:tcW w:w="0" w:type="dxa"/>
            <w:vAlign w:val="bottom"/>
          </w:tcPr>
          <w:p>
            <w:pPr>
              <w:spacing w:after="0"/>
              <w:rPr>
                <w:sz w:val="1"/>
                <w:szCs w:val="1"/>
                <w:color w:val="auto"/>
              </w:rPr>
            </w:pPr>
          </w:p>
        </w:tc>
      </w:tr>
      <w:tr>
        <w:trPr>
          <w:trHeight w:val="86"/>
        </w:trPr>
        <w:tc>
          <w:tcPr>
            <w:tcW w:w="17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Brussels</w:t>
            </w:r>
          </w:p>
        </w:tc>
        <w:tc>
          <w:tcPr>
            <w:tcW w:w="9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limited liability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of a registration statement on Form F-3 (as amended,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w:t>
            </w: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Budapest</w:t>
            </w:r>
          </w:p>
        </w:tc>
        <w:tc>
          <w:tcPr>
            <w:tcW w:w="9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Cairo</w:t>
            </w:r>
          </w:p>
        </w:tc>
        <w:tc>
          <w:tcPr>
            <w:tcW w:w="958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4"/>
                <w:szCs w:val="14"/>
                <w:color w:val="auto"/>
              </w:rPr>
              <w:t>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relates to the proposed issuance and sale by the Company, from time to time,</w:t>
            </w:r>
          </w:p>
        </w:tc>
        <w:tc>
          <w:tcPr>
            <w:tcW w:w="0" w:type="dxa"/>
            <w:vAlign w:val="bottom"/>
          </w:tcPr>
          <w:p>
            <w:pPr>
              <w:spacing w:after="0"/>
              <w:rPr>
                <w:sz w:val="1"/>
                <w:szCs w:val="1"/>
                <w:color w:val="auto"/>
              </w:rPr>
            </w:pPr>
          </w:p>
        </w:tc>
      </w:tr>
      <w:tr>
        <w:trPr>
          <w:trHeight w:val="97"/>
        </w:trPr>
        <w:tc>
          <w:tcPr>
            <w:tcW w:w="170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Casablanca</w:t>
            </w:r>
          </w:p>
        </w:tc>
        <w:tc>
          <w:tcPr>
            <w:tcW w:w="9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w w:val="98"/>
              </w:rPr>
              <w:t>pursuant to Rule 415 under the Securities Act, as set forth in the Registration Statement, the prospectus contained therein (the “</w:t>
            </w:r>
            <w:r>
              <w:rPr>
                <w:rFonts w:ascii="Times New Roman" w:cs="Times New Roman" w:eastAsia="Times New Roman" w:hAnsi="Times New Roman"/>
                <w:sz w:val="14"/>
                <w:szCs w:val="14"/>
                <w:b w:val="1"/>
                <w:bCs w:val="1"/>
                <w:i w:val="1"/>
                <w:iCs w:val="1"/>
                <w:color w:val="auto"/>
                <w:w w:val="98"/>
              </w:rPr>
              <w:t>Prospectus</w:t>
            </w:r>
            <w:r>
              <w:rPr>
                <w:rFonts w:ascii="Times New Roman" w:cs="Times New Roman" w:eastAsia="Times New Roman" w:hAnsi="Times New Roman"/>
                <w:sz w:val="14"/>
                <w:szCs w:val="14"/>
                <w:color w:val="auto"/>
                <w:w w:val="98"/>
              </w:rPr>
              <w:t>”) and the supplements to the</w:t>
            </w: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Doha</w:t>
            </w:r>
          </w:p>
        </w:tc>
        <w:tc>
          <w:tcPr>
            <w:tcW w:w="9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Dubai</w:t>
            </w:r>
          </w:p>
        </w:tc>
        <w:tc>
          <w:tcPr>
            <w:tcW w:w="9580" w:type="dxa"/>
            <w:vAlign w:val="bottom"/>
            <w:gridSpan w:val="2"/>
          </w:tcPr>
          <w:p>
            <w:pPr>
              <w:ind w:left="280"/>
              <w:spacing w:after="0" w:line="125" w:lineRule="exact"/>
              <w:rPr>
                <w:sz w:val="20"/>
                <w:szCs w:val="20"/>
                <w:color w:val="auto"/>
              </w:rPr>
            </w:pPr>
            <w:r>
              <w:rPr>
                <w:rFonts w:ascii="Times New Roman" w:cs="Times New Roman" w:eastAsia="Times New Roman" w:hAnsi="Times New Roman"/>
                <w:sz w:val="14"/>
                <w:szCs w:val="14"/>
                <w:color w:val="auto"/>
              </w:rPr>
              <w:t>prospectus referred to therein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of an aggregate offering price of up to US$50,000,000, or the equivalent thereof, of (a) Ordinary</w:t>
            </w:r>
          </w:p>
        </w:tc>
        <w:tc>
          <w:tcPr>
            <w:tcW w:w="0" w:type="dxa"/>
            <w:vAlign w:val="bottom"/>
          </w:tcPr>
          <w:p>
            <w:pPr>
              <w:spacing w:after="0"/>
              <w:rPr>
                <w:sz w:val="1"/>
                <w:szCs w:val="1"/>
                <w:color w:val="auto"/>
              </w:rPr>
            </w:pPr>
          </w:p>
        </w:tc>
      </w:tr>
      <w:tr>
        <w:trPr>
          <w:trHeight w:val="107"/>
        </w:trPr>
        <w:tc>
          <w:tcPr>
            <w:tcW w:w="17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Dusseldorf</w:t>
            </w:r>
          </w:p>
        </w:tc>
        <w:tc>
          <w:tcPr>
            <w:tcW w:w="9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w w:val="98"/>
              </w:rPr>
              <w:t>Shares of the Company, par value US$0.0001 per share (the “</w:t>
            </w:r>
            <w:r>
              <w:rPr>
                <w:rFonts w:ascii="Times New Roman" w:cs="Times New Roman" w:eastAsia="Times New Roman" w:hAnsi="Times New Roman"/>
                <w:sz w:val="14"/>
                <w:szCs w:val="14"/>
                <w:b w:val="1"/>
                <w:bCs w:val="1"/>
                <w:i w:val="1"/>
                <w:iCs w:val="1"/>
                <w:color w:val="auto"/>
                <w:w w:val="98"/>
              </w:rPr>
              <w:t>Ordinary Shares</w:t>
            </w:r>
            <w:r>
              <w:rPr>
                <w:rFonts w:ascii="Times New Roman" w:cs="Times New Roman" w:eastAsia="Times New Roman" w:hAnsi="Times New Roman"/>
                <w:sz w:val="14"/>
                <w:szCs w:val="14"/>
                <w:color w:val="auto"/>
                <w:w w:val="98"/>
              </w:rPr>
              <w:t>”); (b) preferred shares, par value US$0.0001 per share (the “</w:t>
            </w:r>
            <w:r>
              <w:rPr>
                <w:rFonts w:ascii="Times New Roman" w:cs="Times New Roman" w:eastAsia="Times New Roman" w:hAnsi="Times New Roman"/>
                <w:sz w:val="14"/>
                <w:szCs w:val="14"/>
                <w:b w:val="1"/>
                <w:bCs w:val="1"/>
                <w:i w:val="1"/>
                <w:iCs w:val="1"/>
                <w:color w:val="auto"/>
                <w:w w:val="98"/>
              </w:rPr>
              <w:t>Preferred Shares</w:t>
            </w:r>
            <w:r>
              <w:rPr>
                <w:rFonts w:ascii="Times New Roman" w:cs="Times New Roman" w:eastAsia="Times New Roman" w:hAnsi="Times New Roman"/>
                <w:sz w:val="14"/>
                <w:szCs w:val="14"/>
                <w:color w:val="auto"/>
                <w:w w:val="98"/>
              </w:rPr>
              <w:t>”); (c) debt</w:t>
            </w: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Frankfurt/Main</w:t>
            </w:r>
          </w:p>
        </w:tc>
        <w:tc>
          <w:tcPr>
            <w:tcW w:w="9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Geneva</w:t>
            </w:r>
          </w:p>
        </w:tc>
        <w:tc>
          <w:tcPr>
            <w:tcW w:w="958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color w:val="auto"/>
              </w:rPr>
              <w:t>securities, which may be secured or unsecured, in one or more series (the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 (d) warrants to purchase Shares, Preferred Shares or Debt Securities (the</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Istanbul</w:t>
            </w:r>
          </w:p>
        </w:tc>
        <w:tc>
          <w:tcPr>
            <w:tcW w:w="9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8"/>
              </w:rPr>
              <w:t>“</w:t>
            </w:r>
            <w:r>
              <w:rPr>
                <w:rFonts w:ascii="Times New Roman" w:cs="Times New Roman" w:eastAsia="Times New Roman" w:hAnsi="Times New Roman"/>
                <w:sz w:val="14"/>
                <w:szCs w:val="14"/>
                <w:b w:val="1"/>
                <w:bCs w:val="1"/>
                <w:i w:val="1"/>
                <w:iCs w:val="1"/>
                <w:color w:val="auto"/>
                <w:w w:val="98"/>
              </w:rPr>
              <w:t>Warrants</w:t>
            </w:r>
            <w:r>
              <w:rPr>
                <w:rFonts w:ascii="Times New Roman" w:cs="Times New Roman" w:eastAsia="Times New Roman" w:hAnsi="Times New Roman"/>
                <w:sz w:val="14"/>
                <w:szCs w:val="14"/>
                <w:color w:val="auto"/>
                <w:w w:val="98"/>
              </w:rPr>
              <w:t>”); and (e) units consisting of two or more securities described above in any combination (the “</w:t>
            </w:r>
            <w:r>
              <w:rPr>
                <w:rFonts w:ascii="Times New Roman" w:cs="Times New Roman" w:eastAsia="Times New Roman" w:hAnsi="Times New Roman"/>
                <w:sz w:val="14"/>
                <w:szCs w:val="14"/>
                <w:b w:val="1"/>
                <w:bCs w:val="1"/>
                <w:i w:val="1"/>
                <w:iCs w:val="1"/>
                <w:color w:val="auto"/>
                <w:w w:val="98"/>
              </w:rPr>
              <w:t>Units</w:t>
            </w:r>
            <w:r>
              <w:rPr>
                <w:rFonts w:ascii="Times New Roman" w:cs="Times New Roman" w:eastAsia="Times New Roman" w:hAnsi="Times New Roman"/>
                <w:sz w:val="14"/>
                <w:szCs w:val="14"/>
                <w:color w:val="auto"/>
                <w:w w:val="98"/>
              </w:rPr>
              <w:t>”) (the Shares, the Preferred Shares, the Debt Securities,</w:t>
            </w:r>
          </w:p>
        </w:tc>
        <w:tc>
          <w:tcPr>
            <w:tcW w:w="0" w:type="dxa"/>
            <w:vAlign w:val="bottom"/>
          </w:tcPr>
          <w:p>
            <w:pPr>
              <w:spacing w:after="0"/>
              <w:rPr>
                <w:sz w:val="1"/>
                <w:szCs w:val="1"/>
                <w:color w:val="auto"/>
              </w:rPr>
            </w:pPr>
          </w:p>
        </w:tc>
      </w:tr>
      <w:tr>
        <w:trPr>
          <w:trHeight w:val="66"/>
        </w:trPr>
        <w:tc>
          <w:tcPr>
            <w:tcW w:w="1700" w:type="dxa"/>
            <w:vAlign w:val="bottom"/>
          </w:tcPr>
          <w:p>
            <w:pPr>
              <w:spacing w:after="0" w:line="66" w:lineRule="exact"/>
              <w:rPr>
                <w:sz w:val="20"/>
                <w:szCs w:val="20"/>
                <w:color w:val="auto"/>
              </w:rPr>
            </w:pPr>
            <w:r>
              <w:rPr>
                <w:rFonts w:ascii="Times New Roman" w:cs="Times New Roman" w:eastAsia="Times New Roman" w:hAnsi="Times New Roman"/>
                <w:sz w:val="7"/>
                <w:szCs w:val="7"/>
                <w:color w:val="auto"/>
              </w:rPr>
              <w:t>Jeddah*</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the Warrants and the Units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Johannesburg</w:t>
            </w:r>
          </w:p>
        </w:tc>
        <w:tc>
          <w:tcPr>
            <w:tcW w:w="618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Kyiv</w:t>
            </w:r>
          </w:p>
        </w:tc>
        <w:tc>
          <w:tcPr>
            <w:tcW w:w="61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London</w:t>
            </w:r>
          </w:p>
        </w:tc>
        <w:tc>
          <w:tcPr>
            <w:tcW w:w="9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The Securities are to be sold from time to time as set forth in the Registration Statement, the Prospectus contained therein and the Prospectus Supplements. The</w:t>
            </w: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Luxembourg</w:t>
            </w:r>
          </w:p>
        </w:tc>
        <w:tc>
          <w:tcPr>
            <w:tcW w:w="9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Madrid</w:t>
            </w:r>
          </w:p>
        </w:tc>
        <w:tc>
          <w:tcPr>
            <w:tcW w:w="9580" w:type="dxa"/>
            <w:vAlign w:val="bottom"/>
            <w:gridSpan w:val="2"/>
          </w:tcPr>
          <w:p>
            <w:pPr>
              <w:ind w:left="280"/>
              <w:spacing w:after="0" w:line="141" w:lineRule="exact"/>
              <w:rPr>
                <w:sz w:val="20"/>
                <w:szCs w:val="20"/>
                <w:color w:val="auto"/>
              </w:rPr>
            </w:pPr>
            <w:r>
              <w:rPr>
                <w:rFonts w:ascii="Times New Roman" w:cs="Times New Roman" w:eastAsia="Times New Roman" w:hAnsi="Times New Roman"/>
                <w:sz w:val="14"/>
                <w:szCs w:val="14"/>
                <w:color w:val="auto"/>
              </w:rPr>
              <w:t>Securities are to be sold pursuant to a purchase, underwriting or similar agreement in substantially the form to be filed as an exhibit to a Form 6-K, which will be</w:t>
            </w:r>
          </w:p>
        </w:tc>
        <w:tc>
          <w:tcPr>
            <w:tcW w:w="0" w:type="dxa"/>
            <w:vAlign w:val="bottom"/>
          </w:tcPr>
          <w:p>
            <w:pPr>
              <w:spacing w:after="0"/>
              <w:rPr>
                <w:sz w:val="1"/>
                <w:szCs w:val="1"/>
                <w:color w:val="auto"/>
              </w:rPr>
            </w:pPr>
          </w:p>
        </w:tc>
      </w:tr>
      <w:tr>
        <w:trPr>
          <w:trHeight w:val="86"/>
        </w:trPr>
        <w:tc>
          <w:tcPr>
            <w:tcW w:w="17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Milan</w:t>
            </w:r>
          </w:p>
        </w:tc>
        <w:tc>
          <w:tcPr>
            <w:tcW w:w="9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w w:val="98"/>
              </w:rPr>
              <w:t>incorporated by reference into the Registration Statement and be a part thereof from the date on which such Form 6-K is furnished. The Debt Securities are to be issued</w:t>
            </w: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Munich</w:t>
            </w:r>
          </w:p>
        </w:tc>
        <w:tc>
          <w:tcPr>
            <w:tcW w:w="9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Paris</w:t>
            </w:r>
          </w:p>
        </w:tc>
        <w:tc>
          <w:tcPr>
            <w:tcW w:w="958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4"/>
                <w:szCs w:val="14"/>
                <w:color w:val="auto"/>
                <w:w w:val="98"/>
              </w:rPr>
              <w:t>pursuant to a debt securities indenture (the “</w:t>
            </w:r>
            <w:r>
              <w:rPr>
                <w:rFonts w:ascii="Times New Roman" w:cs="Times New Roman" w:eastAsia="Times New Roman" w:hAnsi="Times New Roman"/>
                <w:sz w:val="14"/>
                <w:szCs w:val="14"/>
                <w:b w:val="1"/>
                <w:bCs w:val="1"/>
                <w:i w:val="1"/>
                <w:iCs w:val="1"/>
                <w:color w:val="auto"/>
                <w:w w:val="98"/>
              </w:rPr>
              <w:t>Indenture</w:t>
            </w:r>
            <w:r>
              <w:rPr>
                <w:rFonts w:ascii="Times New Roman" w:cs="Times New Roman" w:eastAsia="Times New Roman" w:hAnsi="Times New Roman"/>
                <w:sz w:val="14"/>
                <w:szCs w:val="14"/>
                <w:color w:val="auto"/>
                <w:w w:val="98"/>
              </w:rPr>
              <w:t>”), a form of which has been filed as an exhibit to the Registration Statement and is to be entered into between the</w:t>
            </w:r>
          </w:p>
        </w:tc>
        <w:tc>
          <w:tcPr>
            <w:tcW w:w="0" w:type="dxa"/>
            <w:vAlign w:val="bottom"/>
          </w:tcPr>
          <w:p>
            <w:pPr>
              <w:spacing w:after="0"/>
              <w:rPr>
                <w:sz w:val="1"/>
                <w:szCs w:val="1"/>
                <w:color w:val="auto"/>
              </w:rPr>
            </w:pPr>
          </w:p>
        </w:tc>
      </w:tr>
      <w:tr>
        <w:trPr>
          <w:trHeight w:val="97"/>
        </w:trPr>
        <w:tc>
          <w:tcPr>
            <w:tcW w:w="170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Prague</w:t>
            </w:r>
          </w:p>
        </w:tc>
        <w:tc>
          <w:tcPr>
            <w:tcW w:w="9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w w:val="99"/>
              </w:rPr>
              <w:t>Company and a trustee to be named in a Prospectus Supplement to the Registration Statement (the “</w:t>
            </w:r>
            <w:r>
              <w:rPr>
                <w:rFonts w:ascii="Times New Roman" w:cs="Times New Roman" w:eastAsia="Times New Roman" w:hAnsi="Times New Roman"/>
                <w:sz w:val="14"/>
                <w:szCs w:val="14"/>
                <w:b w:val="1"/>
                <w:bCs w:val="1"/>
                <w:i w:val="1"/>
                <w:iCs w:val="1"/>
                <w:color w:val="auto"/>
                <w:w w:val="99"/>
              </w:rPr>
              <w:t>Trustee</w:t>
            </w:r>
            <w:r>
              <w:rPr>
                <w:rFonts w:ascii="Times New Roman" w:cs="Times New Roman" w:eastAsia="Times New Roman" w:hAnsi="Times New Roman"/>
                <w:sz w:val="14"/>
                <w:szCs w:val="14"/>
                <w:color w:val="auto"/>
                <w:w w:val="99"/>
              </w:rPr>
              <w:t>”). The Indenture may be supplemented in connection with</w:t>
            </w:r>
          </w:p>
        </w:tc>
        <w:tc>
          <w:tcPr>
            <w:tcW w:w="0" w:type="dxa"/>
            <w:vAlign w:val="bottom"/>
          </w:tcPr>
          <w:p>
            <w:pPr>
              <w:spacing w:after="0"/>
              <w:rPr>
                <w:sz w:val="1"/>
                <w:szCs w:val="1"/>
                <w:color w:val="auto"/>
              </w:rPr>
            </w:pPr>
          </w:p>
        </w:tc>
      </w:tr>
      <w:tr>
        <w:trPr>
          <w:trHeight w:val="110"/>
        </w:trPr>
        <w:tc>
          <w:tcPr>
            <w:tcW w:w="1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Riyadh*</w:t>
            </w:r>
          </w:p>
        </w:tc>
        <w:tc>
          <w:tcPr>
            <w:tcW w:w="9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Rome</w:t>
            </w:r>
          </w:p>
        </w:tc>
        <w:tc>
          <w:tcPr>
            <w:tcW w:w="95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the issuance of each such series of Debt Securities, by a supplemental indenture or other appropriate action of the Company creating such series of Debt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-4369435</wp:posOffset>
            </wp:positionV>
            <wp:extent cx="1136015" cy="5054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1136015" cy="50546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1"/>
          <w:szCs w:val="11"/>
          <w:color w:val="auto"/>
        </w:rPr>
        <w:t>Stockholm</w:t>
      </w:r>
    </w:p>
    <w:p>
      <w:pPr>
        <w:spacing w:after="0" w:line="216" w:lineRule="auto"/>
        <w:rPr>
          <w:sz w:val="20"/>
          <w:szCs w:val="20"/>
          <w:color w:val="auto"/>
        </w:rPr>
      </w:pPr>
      <w:r>
        <w:rPr>
          <w:rFonts w:ascii="Times New Roman" w:cs="Times New Roman" w:eastAsia="Times New Roman" w:hAnsi="Times New Roman"/>
          <w:sz w:val="11"/>
          <w:szCs w:val="11"/>
          <w:color w:val="auto"/>
        </w:rPr>
        <w:t>Vienna</w:t>
      </w:r>
    </w:p>
    <w:p>
      <w:pPr>
        <w:spacing w:after="0" w:line="216" w:lineRule="auto"/>
        <w:rPr>
          <w:sz w:val="20"/>
          <w:szCs w:val="20"/>
          <w:color w:val="auto"/>
        </w:rPr>
      </w:pPr>
      <w:r>
        <w:rPr>
          <w:rFonts w:ascii="Times New Roman" w:cs="Times New Roman" w:eastAsia="Times New Roman" w:hAnsi="Times New Roman"/>
          <w:sz w:val="11"/>
          <w:szCs w:val="11"/>
          <w:color w:val="auto"/>
        </w:rPr>
        <w:t>Warsaw</w:t>
      </w:r>
    </w:p>
    <w:p>
      <w:pPr>
        <w:spacing w:after="0"/>
        <w:rPr>
          <w:sz w:val="20"/>
          <w:szCs w:val="20"/>
          <w:color w:val="auto"/>
        </w:rPr>
      </w:pPr>
      <w:r>
        <w:rPr>
          <w:rFonts w:ascii="Times New Roman" w:cs="Times New Roman" w:eastAsia="Times New Roman" w:hAnsi="Times New Roman"/>
          <w:sz w:val="11"/>
          <w:szCs w:val="11"/>
          <w:color w:val="auto"/>
        </w:rPr>
        <w:t>Zurich</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The Americas</w:t>
      </w:r>
    </w:p>
    <w:p>
      <w:pPr>
        <w:spacing w:after="0" w:line="218" w:lineRule="auto"/>
        <w:rPr>
          <w:sz w:val="20"/>
          <w:szCs w:val="20"/>
          <w:color w:val="auto"/>
        </w:rPr>
      </w:pPr>
      <w:r>
        <w:rPr>
          <w:rFonts w:ascii="Times New Roman" w:cs="Times New Roman" w:eastAsia="Times New Roman" w:hAnsi="Times New Roman"/>
          <w:sz w:val="11"/>
          <w:szCs w:val="11"/>
          <w:color w:val="auto"/>
        </w:rPr>
        <w:t>Bogota</w:t>
      </w:r>
    </w:p>
    <w:p>
      <w:pPr>
        <w:spacing w:after="0" w:line="216" w:lineRule="auto"/>
        <w:rPr>
          <w:sz w:val="20"/>
          <w:szCs w:val="20"/>
          <w:color w:val="auto"/>
        </w:rPr>
      </w:pPr>
      <w:r>
        <w:rPr>
          <w:rFonts w:ascii="Times New Roman" w:cs="Times New Roman" w:eastAsia="Times New Roman" w:hAnsi="Times New Roman"/>
          <w:sz w:val="11"/>
          <w:szCs w:val="11"/>
          <w:color w:val="auto"/>
        </w:rPr>
        <w:t>Brasilia**</w:t>
      </w:r>
    </w:p>
    <w:p>
      <w:pPr>
        <w:spacing w:after="0" w:line="215" w:lineRule="auto"/>
        <w:rPr>
          <w:sz w:val="20"/>
          <w:szCs w:val="20"/>
          <w:color w:val="auto"/>
        </w:rPr>
      </w:pPr>
      <w:r>
        <w:rPr>
          <w:rFonts w:ascii="Times New Roman" w:cs="Times New Roman" w:eastAsia="Times New Roman" w:hAnsi="Times New Roman"/>
          <w:sz w:val="11"/>
          <w:szCs w:val="11"/>
          <w:color w:val="auto"/>
        </w:rPr>
        <w:t>Buenos Aires</w:t>
      </w:r>
    </w:p>
    <w:p>
      <w:pPr>
        <w:spacing w:after="0" w:line="216" w:lineRule="auto"/>
        <w:rPr>
          <w:sz w:val="20"/>
          <w:szCs w:val="20"/>
          <w:color w:val="auto"/>
        </w:rPr>
      </w:pPr>
      <w:r>
        <w:rPr>
          <w:rFonts w:ascii="Times New Roman" w:cs="Times New Roman" w:eastAsia="Times New Roman" w:hAnsi="Times New Roman"/>
          <w:sz w:val="11"/>
          <w:szCs w:val="11"/>
          <w:color w:val="auto"/>
        </w:rPr>
        <w:t>Caracas</w:t>
      </w:r>
    </w:p>
    <w:p>
      <w:pPr>
        <w:spacing w:after="0" w:line="216" w:lineRule="auto"/>
        <w:rPr>
          <w:sz w:val="20"/>
          <w:szCs w:val="20"/>
          <w:color w:val="auto"/>
        </w:rPr>
      </w:pPr>
      <w:r>
        <w:rPr>
          <w:rFonts w:ascii="Times New Roman" w:cs="Times New Roman" w:eastAsia="Times New Roman" w:hAnsi="Times New Roman"/>
          <w:sz w:val="11"/>
          <w:szCs w:val="11"/>
          <w:color w:val="auto"/>
        </w:rPr>
        <w:t>Chicago</w:t>
      </w:r>
    </w:p>
    <w:p>
      <w:pPr>
        <w:spacing w:after="0" w:line="216" w:lineRule="auto"/>
        <w:rPr>
          <w:sz w:val="20"/>
          <w:szCs w:val="20"/>
          <w:color w:val="auto"/>
        </w:rPr>
      </w:pPr>
      <w:r>
        <w:rPr>
          <w:rFonts w:ascii="Times New Roman" w:cs="Times New Roman" w:eastAsia="Times New Roman" w:hAnsi="Times New Roman"/>
          <w:sz w:val="11"/>
          <w:szCs w:val="11"/>
          <w:color w:val="auto"/>
        </w:rPr>
        <w:t>Dallas</w:t>
      </w:r>
    </w:p>
    <w:p>
      <w:pPr>
        <w:spacing w:after="0" w:line="216" w:lineRule="auto"/>
        <w:rPr>
          <w:sz w:val="20"/>
          <w:szCs w:val="20"/>
          <w:color w:val="auto"/>
        </w:rPr>
      </w:pPr>
      <w:r>
        <w:rPr>
          <w:rFonts w:ascii="Times New Roman" w:cs="Times New Roman" w:eastAsia="Times New Roman" w:hAnsi="Times New Roman"/>
          <w:sz w:val="11"/>
          <w:szCs w:val="11"/>
          <w:color w:val="auto"/>
        </w:rPr>
        <w:t>Guadalajara</w:t>
      </w:r>
    </w:p>
    <w:p>
      <w:pPr>
        <w:spacing w:after="0" w:line="216" w:lineRule="auto"/>
        <w:rPr>
          <w:sz w:val="20"/>
          <w:szCs w:val="20"/>
          <w:color w:val="auto"/>
        </w:rPr>
      </w:pPr>
      <w:r>
        <w:rPr>
          <w:rFonts w:ascii="Times New Roman" w:cs="Times New Roman" w:eastAsia="Times New Roman" w:hAnsi="Times New Roman"/>
          <w:sz w:val="11"/>
          <w:szCs w:val="11"/>
          <w:color w:val="auto"/>
        </w:rPr>
        <w:t>Houston</w:t>
      </w:r>
    </w:p>
    <w:p>
      <w:pPr>
        <w:spacing w:after="0" w:line="215" w:lineRule="auto"/>
        <w:rPr>
          <w:sz w:val="20"/>
          <w:szCs w:val="20"/>
          <w:color w:val="auto"/>
        </w:rPr>
      </w:pPr>
      <w:r>
        <w:rPr>
          <w:rFonts w:ascii="Times New Roman" w:cs="Times New Roman" w:eastAsia="Times New Roman" w:hAnsi="Times New Roman"/>
          <w:sz w:val="11"/>
          <w:szCs w:val="11"/>
          <w:color w:val="auto"/>
        </w:rPr>
        <w:t>Juarez</w:t>
      </w:r>
    </w:p>
    <w:p>
      <w:pPr>
        <w:spacing w:after="0" w:line="216" w:lineRule="auto"/>
        <w:rPr>
          <w:sz w:val="20"/>
          <w:szCs w:val="20"/>
          <w:color w:val="auto"/>
        </w:rPr>
      </w:pPr>
      <w:r>
        <w:rPr>
          <w:rFonts w:ascii="Times New Roman" w:cs="Times New Roman" w:eastAsia="Times New Roman" w:hAnsi="Times New Roman"/>
          <w:sz w:val="11"/>
          <w:szCs w:val="11"/>
          <w:color w:val="auto"/>
        </w:rPr>
        <w:t>Lima</w:t>
      </w:r>
    </w:p>
    <w:p>
      <w:pPr>
        <w:spacing w:after="0" w:line="216" w:lineRule="auto"/>
        <w:rPr>
          <w:sz w:val="20"/>
          <w:szCs w:val="20"/>
          <w:color w:val="auto"/>
        </w:rPr>
      </w:pPr>
      <w:r>
        <w:rPr>
          <w:rFonts w:ascii="Times New Roman" w:cs="Times New Roman" w:eastAsia="Times New Roman" w:hAnsi="Times New Roman"/>
          <w:sz w:val="11"/>
          <w:szCs w:val="11"/>
          <w:color w:val="auto"/>
        </w:rPr>
        <w:t>Los Angeles</w:t>
      </w:r>
    </w:p>
    <w:p>
      <w:pPr>
        <w:spacing w:after="0" w:line="216" w:lineRule="auto"/>
        <w:rPr>
          <w:sz w:val="20"/>
          <w:szCs w:val="20"/>
          <w:color w:val="auto"/>
        </w:rPr>
      </w:pPr>
      <w:r>
        <w:rPr>
          <w:rFonts w:ascii="Times New Roman" w:cs="Times New Roman" w:eastAsia="Times New Roman" w:hAnsi="Times New Roman"/>
          <w:sz w:val="11"/>
          <w:szCs w:val="11"/>
          <w:color w:val="auto"/>
        </w:rPr>
        <w:t>Mexico City</w:t>
      </w:r>
    </w:p>
    <w:p>
      <w:pPr>
        <w:spacing w:after="0" w:line="216" w:lineRule="auto"/>
        <w:rPr>
          <w:sz w:val="20"/>
          <w:szCs w:val="20"/>
          <w:color w:val="auto"/>
        </w:rPr>
      </w:pPr>
      <w:r>
        <w:rPr>
          <w:rFonts w:ascii="Times New Roman" w:cs="Times New Roman" w:eastAsia="Times New Roman" w:hAnsi="Times New Roman"/>
          <w:sz w:val="11"/>
          <w:szCs w:val="11"/>
          <w:color w:val="auto"/>
        </w:rPr>
        <w:t>Miami</w:t>
      </w:r>
    </w:p>
    <w:p>
      <w:pPr>
        <w:spacing w:after="0" w:line="216" w:lineRule="auto"/>
        <w:rPr>
          <w:sz w:val="20"/>
          <w:szCs w:val="20"/>
          <w:color w:val="auto"/>
        </w:rPr>
      </w:pPr>
      <w:r>
        <w:rPr>
          <w:rFonts w:ascii="Times New Roman" w:cs="Times New Roman" w:eastAsia="Times New Roman" w:hAnsi="Times New Roman"/>
          <w:sz w:val="11"/>
          <w:szCs w:val="11"/>
          <w:color w:val="auto"/>
        </w:rPr>
        <w:t>Monterrey</w:t>
      </w:r>
    </w:p>
    <w:p>
      <w:pPr>
        <w:spacing w:after="0" w:line="215" w:lineRule="auto"/>
        <w:rPr>
          <w:sz w:val="20"/>
          <w:szCs w:val="20"/>
          <w:color w:val="auto"/>
        </w:rPr>
      </w:pPr>
      <w:r>
        <w:rPr>
          <w:rFonts w:ascii="Times New Roman" w:cs="Times New Roman" w:eastAsia="Times New Roman" w:hAnsi="Times New Roman"/>
          <w:sz w:val="11"/>
          <w:szCs w:val="11"/>
          <w:color w:val="auto"/>
        </w:rPr>
        <w:t>New York</w:t>
      </w:r>
    </w:p>
    <w:p>
      <w:pPr>
        <w:spacing w:after="0" w:line="216" w:lineRule="auto"/>
        <w:rPr>
          <w:sz w:val="20"/>
          <w:szCs w:val="20"/>
          <w:color w:val="auto"/>
        </w:rPr>
      </w:pPr>
      <w:r>
        <w:rPr>
          <w:rFonts w:ascii="Times New Roman" w:cs="Times New Roman" w:eastAsia="Times New Roman" w:hAnsi="Times New Roman"/>
          <w:sz w:val="11"/>
          <w:szCs w:val="11"/>
          <w:color w:val="auto"/>
        </w:rPr>
        <w:t>Palo Alto</w:t>
      </w:r>
    </w:p>
    <w:p>
      <w:pPr>
        <w:spacing w:after="0" w:line="216" w:lineRule="auto"/>
        <w:rPr>
          <w:sz w:val="20"/>
          <w:szCs w:val="20"/>
          <w:color w:val="auto"/>
        </w:rPr>
      </w:pPr>
      <w:r>
        <w:rPr>
          <w:rFonts w:ascii="Times New Roman" w:cs="Times New Roman" w:eastAsia="Times New Roman" w:hAnsi="Times New Roman"/>
          <w:sz w:val="11"/>
          <w:szCs w:val="11"/>
          <w:color w:val="auto"/>
        </w:rPr>
        <w:t>Porto Alegre**</w:t>
      </w:r>
    </w:p>
    <w:p>
      <w:pPr>
        <w:spacing w:after="0" w:line="216" w:lineRule="auto"/>
        <w:rPr>
          <w:sz w:val="20"/>
          <w:szCs w:val="20"/>
          <w:color w:val="auto"/>
        </w:rPr>
      </w:pPr>
      <w:r>
        <w:rPr>
          <w:rFonts w:ascii="Times New Roman" w:cs="Times New Roman" w:eastAsia="Times New Roman" w:hAnsi="Times New Roman"/>
          <w:sz w:val="11"/>
          <w:szCs w:val="11"/>
          <w:color w:val="auto"/>
        </w:rPr>
        <w:t>Rio de Janeiro**</w:t>
      </w:r>
    </w:p>
    <w:p>
      <w:pPr>
        <w:spacing w:after="0" w:line="216" w:lineRule="auto"/>
        <w:rPr>
          <w:sz w:val="20"/>
          <w:szCs w:val="20"/>
          <w:color w:val="auto"/>
        </w:rPr>
      </w:pPr>
      <w:r>
        <w:rPr>
          <w:rFonts w:ascii="Times New Roman" w:cs="Times New Roman" w:eastAsia="Times New Roman" w:hAnsi="Times New Roman"/>
          <w:sz w:val="11"/>
          <w:szCs w:val="11"/>
          <w:color w:val="auto"/>
        </w:rPr>
        <w:t>San Francisco</w:t>
      </w:r>
    </w:p>
    <w:p>
      <w:pPr>
        <w:spacing w:after="0" w:line="216" w:lineRule="auto"/>
        <w:rPr>
          <w:sz w:val="20"/>
          <w:szCs w:val="20"/>
          <w:color w:val="auto"/>
        </w:rPr>
      </w:pPr>
      <w:r>
        <w:rPr>
          <w:rFonts w:ascii="Times New Roman" w:cs="Times New Roman" w:eastAsia="Times New Roman" w:hAnsi="Times New Roman"/>
          <w:sz w:val="11"/>
          <w:szCs w:val="11"/>
          <w:color w:val="auto"/>
        </w:rPr>
        <w:t>Santiago</w:t>
      </w:r>
    </w:p>
    <w:p>
      <w:pPr>
        <w:spacing w:after="0" w:line="216" w:lineRule="auto"/>
        <w:rPr>
          <w:sz w:val="20"/>
          <w:szCs w:val="20"/>
          <w:color w:val="auto"/>
        </w:rPr>
      </w:pPr>
      <w:r>
        <w:rPr>
          <w:rFonts w:ascii="Times New Roman" w:cs="Times New Roman" w:eastAsia="Times New Roman" w:hAnsi="Times New Roman"/>
          <w:sz w:val="11"/>
          <w:szCs w:val="11"/>
          <w:color w:val="auto"/>
        </w:rPr>
        <w:t>Sao Paulo**</w:t>
      </w:r>
    </w:p>
    <w:p>
      <w:pPr>
        <w:spacing w:after="0" w:line="215" w:lineRule="auto"/>
        <w:rPr>
          <w:sz w:val="20"/>
          <w:szCs w:val="20"/>
          <w:color w:val="auto"/>
        </w:rPr>
      </w:pPr>
      <w:r>
        <w:rPr>
          <w:rFonts w:ascii="Times New Roman" w:cs="Times New Roman" w:eastAsia="Times New Roman" w:hAnsi="Times New Roman"/>
          <w:sz w:val="11"/>
          <w:szCs w:val="11"/>
          <w:color w:val="auto"/>
        </w:rPr>
        <w:t>Tijuana</w:t>
      </w:r>
    </w:p>
    <w:p>
      <w:pPr>
        <w:spacing w:after="0" w:line="216" w:lineRule="auto"/>
        <w:rPr>
          <w:sz w:val="20"/>
          <w:szCs w:val="20"/>
          <w:color w:val="auto"/>
        </w:rPr>
      </w:pPr>
      <w:r>
        <w:rPr>
          <w:rFonts w:ascii="Times New Roman" w:cs="Times New Roman" w:eastAsia="Times New Roman" w:hAnsi="Times New Roman"/>
          <w:sz w:val="11"/>
          <w:szCs w:val="11"/>
          <w:color w:val="auto"/>
        </w:rPr>
        <w:t>Toronto</w:t>
      </w:r>
    </w:p>
    <w:p>
      <w:pPr>
        <w:spacing w:after="0"/>
        <w:rPr>
          <w:sz w:val="20"/>
          <w:szCs w:val="20"/>
          <w:color w:val="auto"/>
        </w:rPr>
      </w:pPr>
      <w:r>
        <w:rPr>
          <w:rFonts w:ascii="Times New Roman" w:cs="Times New Roman" w:eastAsia="Times New Roman" w:hAnsi="Times New Roman"/>
          <w:sz w:val="11"/>
          <w:szCs w:val="11"/>
          <w:color w:val="auto"/>
        </w:rPr>
        <w:t>Washington, DC</w:t>
      </w:r>
    </w:p>
    <w:p>
      <w:pPr>
        <w:spacing w:after="0" w:line="88" w:lineRule="exact"/>
        <w:rPr>
          <w:sz w:val="20"/>
          <w:szCs w:val="20"/>
          <w:color w:val="auto"/>
        </w:rPr>
      </w:pPr>
    </w:p>
    <w:p>
      <w:pPr>
        <w:ind w:left="200" w:hanging="197"/>
        <w:spacing w:after="0"/>
        <w:tabs>
          <w:tab w:leader="none" w:pos="200" w:val="left"/>
        </w:tabs>
        <w:numPr>
          <w:ilvl w:val="0"/>
          <w:numId w:val="9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Associated Firm</w:t>
      </w:r>
    </w:p>
    <w:p>
      <w:pPr>
        <w:spacing w:after="0"/>
        <w:rPr>
          <w:sz w:val="20"/>
          <w:szCs w:val="20"/>
          <w:color w:val="auto"/>
        </w:rPr>
      </w:pPr>
      <w:r>
        <w:rPr>
          <w:rFonts w:ascii="Times New Roman" w:cs="Times New Roman" w:eastAsia="Times New Roman" w:hAnsi="Times New Roman"/>
          <w:sz w:val="11"/>
          <w:szCs w:val="11"/>
          <w:color w:val="auto"/>
        </w:rPr>
        <w:t>**  In cooperation with Trench, Rossi e Watanabe</w:t>
      </w:r>
    </w:p>
    <w:p>
      <w:pPr>
        <w:spacing w:after="0" w:line="76"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Beijing</w:t>
            </w:r>
          </w:p>
        </w:tc>
        <w:tc>
          <w:tcPr>
            <w:tcW w:w="274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Hong Kong</w:t>
            </w:r>
          </w:p>
        </w:tc>
        <w:tc>
          <w:tcPr>
            <w:tcW w:w="196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Shanghai</w:t>
            </w:r>
          </w:p>
        </w:tc>
      </w:tr>
      <w:tr>
        <w:trPr>
          <w:trHeight w:val="114"/>
        </w:trPr>
        <w:tc>
          <w:tcPr>
            <w:tcW w:w="216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Suite 3401, China World Office 2</w:t>
            </w:r>
          </w:p>
        </w:tc>
        <w:tc>
          <w:tcPr>
            <w:tcW w:w="2740" w:type="dxa"/>
            <w:vAlign w:val="bottom"/>
          </w:tcPr>
          <w:p>
            <w:pPr>
              <w:ind w:left="660"/>
              <w:spacing w:after="0" w:line="114" w:lineRule="exact"/>
              <w:rPr>
                <w:sz w:val="20"/>
                <w:szCs w:val="20"/>
                <w:color w:val="auto"/>
              </w:rPr>
            </w:pPr>
            <w:r>
              <w:rPr>
                <w:rFonts w:ascii="Times New Roman" w:cs="Times New Roman" w:eastAsia="Times New Roman" w:hAnsi="Times New Roman"/>
                <w:sz w:val="11"/>
                <w:szCs w:val="11"/>
                <w:color w:val="auto"/>
              </w:rPr>
              <w:t>14th Floor, One Taikoo Place</w:t>
            </w:r>
          </w:p>
        </w:tc>
        <w:tc>
          <w:tcPr>
            <w:tcW w:w="1960" w:type="dxa"/>
            <w:vAlign w:val="bottom"/>
          </w:tcPr>
          <w:p>
            <w:pPr>
              <w:ind w:left="740"/>
              <w:spacing w:after="0" w:line="114" w:lineRule="exact"/>
              <w:rPr>
                <w:sz w:val="20"/>
                <w:szCs w:val="20"/>
                <w:color w:val="auto"/>
              </w:rPr>
            </w:pPr>
            <w:r>
              <w:rPr>
                <w:rFonts w:ascii="Times New Roman" w:cs="Times New Roman" w:eastAsia="Times New Roman" w:hAnsi="Times New Roman"/>
                <w:sz w:val="11"/>
                <w:szCs w:val="11"/>
                <w:color w:val="auto"/>
              </w:rPr>
              <w:t>Unit 1601, Jin Mao Tower</w:t>
            </w:r>
          </w:p>
        </w:tc>
      </w:tr>
      <w:tr>
        <w:trPr>
          <w:trHeight w:val="114"/>
        </w:trPr>
        <w:tc>
          <w:tcPr>
            <w:tcW w:w="216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China World Trade Centre</w:t>
            </w:r>
          </w:p>
        </w:tc>
        <w:tc>
          <w:tcPr>
            <w:tcW w:w="2740" w:type="dxa"/>
            <w:vAlign w:val="bottom"/>
          </w:tcPr>
          <w:p>
            <w:pPr>
              <w:ind w:left="660"/>
              <w:spacing w:after="0" w:line="114" w:lineRule="exact"/>
              <w:rPr>
                <w:sz w:val="20"/>
                <w:szCs w:val="20"/>
                <w:color w:val="auto"/>
              </w:rPr>
            </w:pPr>
            <w:r>
              <w:rPr>
                <w:rFonts w:ascii="Times New Roman" w:cs="Times New Roman" w:eastAsia="Times New Roman" w:hAnsi="Times New Roman"/>
                <w:sz w:val="11"/>
                <w:szCs w:val="11"/>
                <w:color w:val="auto"/>
              </w:rPr>
              <w:t>979 King’s Road, Quarry Bay</w:t>
            </w:r>
          </w:p>
        </w:tc>
        <w:tc>
          <w:tcPr>
            <w:tcW w:w="1960" w:type="dxa"/>
            <w:vAlign w:val="bottom"/>
          </w:tcPr>
          <w:p>
            <w:pPr>
              <w:ind w:left="740"/>
              <w:spacing w:after="0" w:line="114" w:lineRule="exact"/>
              <w:rPr>
                <w:sz w:val="20"/>
                <w:szCs w:val="20"/>
                <w:color w:val="auto"/>
              </w:rPr>
            </w:pPr>
            <w:r>
              <w:rPr>
                <w:rFonts w:ascii="Times New Roman" w:cs="Times New Roman" w:eastAsia="Times New Roman" w:hAnsi="Times New Roman"/>
                <w:sz w:val="11"/>
                <w:szCs w:val="11"/>
                <w:color w:val="auto"/>
              </w:rPr>
              <w:t>88 Century Avenue</w:t>
            </w:r>
          </w:p>
        </w:tc>
      </w:tr>
      <w:tr>
        <w:trPr>
          <w:trHeight w:val="114"/>
        </w:trPr>
        <w:tc>
          <w:tcPr>
            <w:tcW w:w="216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1 Jianguomenwai Dajie</w:t>
            </w:r>
          </w:p>
        </w:tc>
        <w:tc>
          <w:tcPr>
            <w:tcW w:w="2740" w:type="dxa"/>
            <w:vAlign w:val="bottom"/>
          </w:tcPr>
          <w:p>
            <w:pPr>
              <w:ind w:left="660"/>
              <w:spacing w:after="0" w:line="114" w:lineRule="exact"/>
              <w:rPr>
                <w:sz w:val="20"/>
                <w:szCs w:val="20"/>
                <w:color w:val="auto"/>
              </w:rPr>
            </w:pPr>
            <w:r>
              <w:rPr>
                <w:rFonts w:ascii="Times New Roman" w:cs="Times New Roman" w:eastAsia="Times New Roman" w:hAnsi="Times New Roman"/>
                <w:sz w:val="11"/>
                <w:szCs w:val="11"/>
                <w:color w:val="auto"/>
              </w:rPr>
              <w:t>Hong Kong SAR</w:t>
            </w:r>
          </w:p>
        </w:tc>
        <w:tc>
          <w:tcPr>
            <w:tcW w:w="1960" w:type="dxa"/>
            <w:vAlign w:val="bottom"/>
          </w:tcPr>
          <w:p>
            <w:pPr>
              <w:ind w:left="740"/>
              <w:spacing w:after="0" w:line="114" w:lineRule="exact"/>
              <w:rPr>
                <w:sz w:val="20"/>
                <w:szCs w:val="20"/>
                <w:color w:val="auto"/>
              </w:rPr>
            </w:pPr>
            <w:r>
              <w:rPr>
                <w:rFonts w:ascii="Times New Roman" w:cs="Times New Roman" w:eastAsia="Times New Roman" w:hAnsi="Times New Roman"/>
                <w:sz w:val="11"/>
                <w:szCs w:val="11"/>
                <w:color w:val="auto"/>
              </w:rPr>
              <w:t>Pudong, Shanghai 200121</w:t>
            </w:r>
          </w:p>
        </w:tc>
      </w:tr>
      <w:tr>
        <w:trPr>
          <w:trHeight w:val="114"/>
        </w:trPr>
        <w:tc>
          <w:tcPr>
            <w:tcW w:w="216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Beijing 100004</w:t>
            </w:r>
          </w:p>
        </w:tc>
        <w:tc>
          <w:tcPr>
            <w:tcW w:w="2740" w:type="dxa"/>
            <w:vAlign w:val="bottom"/>
          </w:tcPr>
          <w:p>
            <w:pPr>
              <w:ind w:left="660"/>
              <w:spacing w:after="0" w:line="114" w:lineRule="exact"/>
              <w:rPr>
                <w:sz w:val="20"/>
                <w:szCs w:val="20"/>
                <w:color w:val="auto"/>
              </w:rPr>
            </w:pPr>
            <w:r>
              <w:rPr>
                <w:rFonts w:ascii="Times New Roman" w:cs="Times New Roman" w:eastAsia="Times New Roman" w:hAnsi="Times New Roman"/>
                <w:sz w:val="11"/>
                <w:szCs w:val="11"/>
                <w:color w:val="auto"/>
              </w:rPr>
              <w:t>People’s Republic of China</w:t>
            </w:r>
          </w:p>
        </w:tc>
        <w:tc>
          <w:tcPr>
            <w:tcW w:w="1960" w:type="dxa"/>
            <w:vAlign w:val="bottom"/>
          </w:tcPr>
          <w:p>
            <w:pPr>
              <w:ind w:left="740"/>
              <w:spacing w:after="0" w:line="114" w:lineRule="exact"/>
              <w:rPr>
                <w:sz w:val="20"/>
                <w:szCs w:val="20"/>
                <w:color w:val="auto"/>
              </w:rPr>
            </w:pPr>
            <w:r>
              <w:rPr>
                <w:rFonts w:ascii="Times New Roman" w:cs="Times New Roman" w:eastAsia="Times New Roman" w:hAnsi="Times New Roman"/>
                <w:sz w:val="11"/>
                <w:szCs w:val="11"/>
                <w:color w:val="auto"/>
                <w:w w:val="98"/>
              </w:rPr>
              <w:t>People’s Republic of China</w:t>
            </w:r>
          </w:p>
        </w:tc>
      </w:tr>
      <w:tr>
        <w:trPr>
          <w:trHeight w:val="114"/>
        </w:trPr>
        <w:tc>
          <w:tcPr>
            <w:tcW w:w="216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People’s Republic of China</w:t>
            </w:r>
          </w:p>
        </w:tc>
        <w:tc>
          <w:tcPr>
            <w:tcW w:w="2740" w:type="dxa"/>
            <w:vAlign w:val="bottom"/>
          </w:tcPr>
          <w:p>
            <w:pPr>
              <w:ind w:left="660"/>
              <w:spacing w:after="0" w:line="114" w:lineRule="exact"/>
              <w:rPr>
                <w:sz w:val="20"/>
                <w:szCs w:val="20"/>
                <w:color w:val="auto"/>
              </w:rPr>
            </w:pPr>
            <w:r>
              <w:rPr>
                <w:rFonts w:ascii="Times New Roman" w:cs="Times New Roman" w:eastAsia="Times New Roman" w:hAnsi="Times New Roman"/>
                <w:sz w:val="11"/>
                <w:szCs w:val="11"/>
                <w:color w:val="auto"/>
              </w:rPr>
              <w:t>Tel: +852 2846 1888</w:t>
            </w:r>
          </w:p>
        </w:tc>
        <w:tc>
          <w:tcPr>
            <w:tcW w:w="1960" w:type="dxa"/>
            <w:vAlign w:val="bottom"/>
          </w:tcPr>
          <w:p>
            <w:pPr>
              <w:ind w:left="740"/>
              <w:spacing w:after="0" w:line="114" w:lineRule="exact"/>
              <w:rPr>
                <w:sz w:val="20"/>
                <w:szCs w:val="20"/>
                <w:color w:val="auto"/>
              </w:rPr>
            </w:pPr>
            <w:r>
              <w:rPr>
                <w:rFonts w:ascii="Times New Roman" w:cs="Times New Roman" w:eastAsia="Times New Roman" w:hAnsi="Times New Roman"/>
                <w:sz w:val="11"/>
                <w:szCs w:val="11"/>
                <w:color w:val="auto"/>
              </w:rPr>
              <w:t>Tel: +86 21 6105 8558</w:t>
            </w:r>
          </w:p>
        </w:tc>
      </w:tr>
      <w:tr>
        <w:trPr>
          <w:trHeight w:val="114"/>
        </w:trPr>
        <w:tc>
          <w:tcPr>
            <w:tcW w:w="216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Tel: +86 10 6535 3800</w:t>
            </w:r>
          </w:p>
        </w:tc>
        <w:tc>
          <w:tcPr>
            <w:tcW w:w="2740" w:type="dxa"/>
            <w:vAlign w:val="bottom"/>
          </w:tcPr>
          <w:p>
            <w:pPr>
              <w:ind w:left="660"/>
              <w:spacing w:after="0" w:line="114" w:lineRule="exact"/>
              <w:rPr>
                <w:sz w:val="20"/>
                <w:szCs w:val="20"/>
                <w:color w:val="auto"/>
              </w:rPr>
            </w:pPr>
            <w:r>
              <w:rPr>
                <w:rFonts w:ascii="Times New Roman" w:cs="Times New Roman" w:eastAsia="Times New Roman" w:hAnsi="Times New Roman"/>
                <w:sz w:val="11"/>
                <w:szCs w:val="11"/>
                <w:color w:val="auto"/>
              </w:rPr>
              <w:t>Fax: +852 2845 0476</w:t>
            </w:r>
          </w:p>
        </w:tc>
        <w:tc>
          <w:tcPr>
            <w:tcW w:w="1960" w:type="dxa"/>
            <w:vAlign w:val="bottom"/>
          </w:tcPr>
          <w:p>
            <w:pPr>
              <w:ind w:left="740"/>
              <w:spacing w:after="0" w:line="114" w:lineRule="exact"/>
              <w:rPr>
                <w:sz w:val="20"/>
                <w:szCs w:val="20"/>
                <w:color w:val="auto"/>
              </w:rPr>
            </w:pPr>
            <w:r>
              <w:rPr>
                <w:rFonts w:ascii="Times New Roman" w:cs="Times New Roman" w:eastAsia="Times New Roman" w:hAnsi="Times New Roman"/>
                <w:sz w:val="11"/>
                <w:szCs w:val="11"/>
                <w:color w:val="auto"/>
              </w:rPr>
              <w:t>Fax: +86 21 5047 0020</w:t>
            </w:r>
          </w:p>
        </w:tc>
      </w:tr>
      <w:tr>
        <w:trPr>
          <w:trHeight w:val="142"/>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Fax: +86 10 6505 2309</w:t>
            </w:r>
          </w:p>
        </w:tc>
        <w:tc>
          <w:tcPr>
            <w:tcW w:w="2740" w:type="dxa"/>
            <w:vAlign w:val="bottom"/>
          </w:tcPr>
          <w:p>
            <w:pPr>
              <w:spacing w:after="0"/>
              <w:rPr>
                <w:sz w:val="12"/>
                <w:szCs w:val="12"/>
                <w:color w:val="auto"/>
              </w:rPr>
            </w:pPr>
          </w:p>
        </w:tc>
        <w:tc>
          <w:tcPr>
            <w:tcW w:w="1960" w:type="dxa"/>
            <w:vAlign w:val="bottom"/>
          </w:tcPr>
          <w:p>
            <w:pPr>
              <w:spacing w:after="0"/>
              <w:rPr>
                <w:sz w:val="12"/>
                <w:szCs w:val="12"/>
                <w:color w:val="auto"/>
              </w:rPr>
            </w:pPr>
          </w:p>
        </w:tc>
      </w:tr>
    </w:tbl>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color w:val="auto"/>
        </w:rPr>
        <w:t>Registered foreign lawyers not admitted to practice in the PRC.</w:t>
      </w:r>
    </w:p>
    <w:p>
      <w:pPr>
        <w:spacing w:after="0" w:line="1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color w:val="auto"/>
        </w:rPr>
        <w:t>Baker &amp; McKenzie LLP is a member of Baker &amp; McKenzie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16470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19" w:name="page120"/>
    <w:bookmarkEnd w:id="119"/>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469900</wp:posOffset>
            </wp:positionV>
            <wp:extent cx="1136015" cy="5054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36015" cy="505460"/>
                    </a:xfrm>
                    <a:prstGeom prst="rect">
                      <a:avLst/>
                    </a:prstGeom>
                    <a:noFill/>
                  </pic:spPr>
                </pic:pic>
              </a:graphicData>
            </a:graphic>
          </wp:anchor>
        </w:drawing>
      </w:r>
    </w:p>
    <w:p>
      <w:pPr>
        <w:jc w:val="both"/>
        <w:ind w:left="100" w:firstLine="248"/>
        <w:spacing w:after="0" w:line="269" w:lineRule="auto"/>
        <w:rPr>
          <w:sz w:val="20"/>
          <w:szCs w:val="20"/>
          <w:color w:val="auto"/>
        </w:rPr>
      </w:pPr>
      <w:r>
        <w:rPr>
          <w:rFonts w:ascii="Times New Roman" w:cs="Times New Roman" w:eastAsia="Times New Roman" w:hAnsi="Times New Roman"/>
          <w:sz w:val="13"/>
          <w:szCs w:val="13"/>
          <w:color w:val="auto"/>
        </w:rPr>
        <w:t>In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authentic originals of such documents; (iv) each natural person signing any document reviewed by us had the legal capacity to do so; (v) the certificates representing the Securities will be duly executed and delivered, (vi) the Registration Statement, and any amendments thereto (including post-effective amendments), will have become effective under the Securities Act; (vii) a Prospectus Supplement will have been filed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describing the Securities offered thereby; (viii) the Securities will be issued and sold in compliance with applicable U.S. federal and state securities laws and in the manner stated in the Registration Statement and the applicable Prospectus Supplement;</w:t>
      </w:r>
    </w:p>
    <w:p>
      <w:pPr>
        <w:spacing w:after="0" w:line="1" w:lineRule="exact"/>
        <w:rPr>
          <w:sz w:val="20"/>
          <w:szCs w:val="20"/>
          <w:color w:val="auto"/>
        </w:rPr>
      </w:pPr>
    </w:p>
    <w:p>
      <w:pPr>
        <w:jc w:val="both"/>
        <w:ind w:left="100" w:firstLine="4"/>
        <w:spacing w:after="0" w:line="250" w:lineRule="auto"/>
        <w:tabs>
          <w:tab w:leader="none" w:pos="35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definitive purchase, underwriting or similar agreement with respect to any Securities offered will have been duly authorized and validly executed and delivered by the Company and the other parties thereto; and (x) any Securities issuable upon conversion, exchange, redemption or exercise of any Securities being offered will be duly authorized, created and, if appropriate, reserved for issuance upon such conversion, exchange, redemption or exercise.</w:t>
      </w:r>
    </w:p>
    <w:p>
      <w:pPr>
        <w:spacing w:after="0" w:line="145" w:lineRule="exact"/>
        <w:rPr>
          <w:sz w:val="20"/>
          <w:szCs w:val="20"/>
          <w:color w:val="auto"/>
        </w:rPr>
      </w:pPr>
    </w:p>
    <w:p>
      <w:pPr>
        <w:jc w:val="both"/>
        <w:ind w:left="100" w:firstLine="248"/>
        <w:spacing w:after="0" w:line="259" w:lineRule="auto"/>
        <w:rPr>
          <w:sz w:val="20"/>
          <w:szCs w:val="20"/>
          <w:color w:val="auto"/>
        </w:rPr>
      </w:pPr>
      <w:r>
        <w:rPr>
          <w:rFonts w:ascii="Times New Roman" w:cs="Times New Roman" w:eastAsia="Times New Roman" w:hAnsi="Times New Roman"/>
          <w:sz w:val="14"/>
          <w:szCs w:val="14"/>
          <w:color w:val="auto"/>
        </w:rPr>
        <w:t>In rendering the opinions set forth below, we have also relied on the opinion of Conyers Dill &amp; Pearman, the Company’s Cayman Islands legal counsel, being filed as an exhibit to the Registration Statement, that the Company has been duly incorporated as an exempted company with limited liability for an unlimited duration and is validly existing and in good standing under the laws of the Cayman Islands.</w:t>
      </w:r>
    </w:p>
    <w:p>
      <w:pPr>
        <w:spacing w:after="0" w:line="141" w:lineRule="exact"/>
        <w:rPr>
          <w:sz w:val="20"/>
          <w:szCs w:val="20"/>
          <w:color w:val="auto"/>
        </w:rPr>
      </w:pPr>
    </w:p>
    <w:p>
      <w:pPr>
        <w:jc w:val="both"/>
        <w:ind w:left="100" w:firstLine="248"/>
        <w:spacing w:after="0" w:line="273" w:lineRule="auto"/>
        <w:rPr>
          <w:sz w:val="20"/>
          <w:szCs w:val="20"/>
          <w:color w:val="auto"/>
        </w:rPr>
      </w:pPr>
      <w:r>
        <w:rPr>
          <w:rFonts w:ascii="Times New Roman" w:cs="Times New Roman" w:eastAsia="Times New Roman" w:hAnsi="Times New Roman"/>
          <w:sz w:val="14"/>
          <w:szCs w:val="14"/>
          <w:color w:val="auto"/>
        </w:rPr>
        <w:t>We have examined the Registration Statement, including the exhibits thereto, and such other documents, corporate records and instruments, and have examined such laws and regulations as we have deemed necessary for purposes of rendering the opinions set forth herein.</w:t>
      </w:r>
    </w:p>
    <w:p>
      <w:pPr>
        <w:spacing w:after="0" w:line="130" w:lineRule="exact"/>
        <w:rPr>
          <w:sz w:val="20"/>
          <w:szCs w:val="20"/>
          <w:color w:val="auto"/>
        </w:rPr>
      </w:pPr>
    </w:p>
    <w:p>
      <w:pPr>
        <w:jc w:val="both"/>
        <w:ind w:left="100" w:firstLine="248"/>
        <w:spacing w:after="0" w:line="273" w:lineRule="auto"/>
        <w:rPr>
          <w:sz w:val="20"/>
          <w:szCs w:val="20"/>
          <w:color w:val="auto"/>
        </w:rPr>
      </w:pPr>
      <w:r>
        <w:rPr>
          <w:rFonts w:ascii="Times New Roman" w:cs="Times New Roman" w:eastAsia="Times New Roman" w:hAnsi="Times New Roman"/>
          <w:sz w:val="14"/>
          <w:szCs w:val="14"/>
          <w:color w:val="auto"/>
        </w:rPr>
        <w:t>We express no opinion as to any matter relating to the laws of any jurisdiction other than (i) the laws of the State of New York and (ii) the federal securities laws of the United States of America.</w:t>
      </w:r>
    </w:p>
    <w:p>
      <w:pPr>
        <w:spacing w:after="0" w:line="130" w:lineRule="exact"/>
        <w:rPr>
          <w:sz w:val="20"/>
          <w:szCs w:val="20"/>
          <w:color w:val="auto"/>
        </w:rPr>
      </w:pPr>
    </w:p>
    <w:p>
      <w:pPr>
        <w:jc w:val="both"/>
        <w:ind w:left="100" w:firstLine="248"/>
        <w:spacing w:after="0" w:line="251" w:lineRule="auto"/>
        <w:rPr>
          <w:sz w:val="20"/>
          <w:szCs w:val="20"/>
          <w:color w:val="auto"/>
        </w:rPr>
      </w:pPr>
      <w:r>
        <w:rPr>
          <w:rFonts w:ascii="Times New Roman" w:cs="Times New Roman" w:eastAsia="Times New Roman" w:hAnsi="Times New Roman"/>
          <w:sz w:val="14"/>
          <w:szCs w:val="14"/>
          <w:color w:val="auto"/>
        </w:rPr>
        <w:t>Our opinion below is qualified to the extent that they may be subject to or affected by (i) applicable bankruptcy, insolvency, reorganization, moratorium, usury, fraudulent conveyance or similar laws affecting the rights of creditors generally, and (ii) by general equitable principles and public policy considerations, whether such principles and considerations are considered in a proceeding at law or at equity. Furthermore, we express no opinion as to the availability of any equitable or specific remedy, or as to the successful assertion of any equitable defense, upon any breach of any agreements or obligations referred to therein, or any other matters, inasmuch as the availability of such remedies or defenses may be subject to the discretion of a court. We express no opinion as to the enforceability of any indemnification provision, or as to the enforceability of any provision that may be deemed to constitute liquidated damages.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Based upon and subject to the foregoing, we are of the opinion that:</w:t>
      </w:r>
    </w:p>
    <w:p>
      <w:pPr>
        <w:spacing w:after="0" w:line="170" w:lineRule="exact"/>
        <w:rPr>
          <w:sz w:val="20"/>
          <w:szCs w:val="20"/>
          <w:color w:val="auto"/>
        </w:rPr>
      </w:pPr>
    </w:p>
    <w:p>
      <w:pPr>
        <w:jc w:val="both"/>
        <w:ind w:left="100" w:firstLine="252"/>
        <w:spacing w:after="0" w:line="251" w:lineRule="auto"/>
        <w:tabs>
          <w:tab w:leader="none" w:pos="489"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of directors of the Company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then the Debt Securities will constitute valid and binding obligations of the Company, enforceable against the Company in accordance with their terms.</w:t>
      </w:r>
    </w:p>
    <w:p>
      <w:pPr>
        <w:spacing w:after="0" w:line="3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10795</wp:posOffset>
            </wp:positionV>
            <wp:extent cx="716470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120" w:name="page121"/>
    <w:bookmarkEnd w:id="120"/>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469265</wp:posOffset>
            </wp:positionV>
            <wp:extent cx="1136015" cy="505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36015" cy="505460"/>
                    </a:xfrm>
                    <a:prstGeom prst="rect">
                      <a:avLst/>
                    </a:prstGeom>
                    <a:noFill/>
                  </pic:spPr>
                </pic:pic>
              </a:graphicData>
            </a:graphic>
          </wp:anchor>
        </w:drawing>
      </w:r>
    </w:p>
    <w:p>
      <w:pPr>
        <w:jc w:val="both"/>
        <w:ind w:left="100" w:firstLine="252"/>
        <w:spacing w:after="0" w:line="281" w:lineRule="auto"/>
        <w:tabs>
          <w:tab w:leader="none" w:pos="49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27" w:lineRule="exact"/>
        <w:rPr>
          <w:rFonts w:ascii="Times New Roman" w:cs="Times New Roman" w:eastAsia="Times New Roman" w:hAnsi="Times New Roman"/>
          <w:sz w:val="13"/>
          <w:szCs w:val="13"/>
          <w:color w:val="auto"/>
        </w:rPr>
      </w:pPr>
    </w:p>
    <w:p>
      <w:pPr>
        <w:jc w:val="both"/>
        <w:ind w:left="100" w:firstLine="252"/>
        <w:spacing w:after="0" w:line="253" w:lineRule="auto"/>
        <w:tabs>
          <w:tab w:leader="none" w:pos="48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44" w:lineRule="exact"/>
        <w:rPr>
          <w:sz w:val="20"/>
          <w:szCs w:val="20"/>
          <w:color w:val="auto"/>
        </w:rPr>
      </w:pPr>
    </w:p>
    <w:p>
      <w:pPr>
        <w:jc w:val="both"/>
        <w:ind w:left="100" w:firstLine="248"/>
        <w:spacing w:after="0" w:line="259"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use of our name under the caption “Legal Matters” in the prospectus contained therein. In giving such consent, we do not thereby admit that we are in the category of persons whose consent is required under Sections 7 and 11 of the Securities Act or the rules and regulations of the Commission thereunder.</w:t>
      </w:r>
    </w:p>
    <w:p>
      <w:pPr>
        <w:spacing w:after="0" w:line="141" w:lineRule="exact"/>
        <w:rPr>
          <w:sz w:val="20"/>
          <w:szCs w:val="20"/>
          <w:color w:val="auto"/>
        </w:rPr>
      </w:pPr>
    </w:p>
    <w:p>
      <w:pPr>
        <w:ind w:left="4120"/>
        <w:spacing w:after="0"/>
        <w:tabs>
          <w:tab w:leader="none" w:pos="4440" w:val="left"/>
          <w:tab w:leader="none" w:pos="48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1"/>
          <w:szCs w:val="11"/>
          <w:color w:val="auto"/>
        </w:rPr>
        <w:t>*</w:t>
      </w:r>
    </w:p>
    <w:p>
      <w:pPr>
        <w:spacing w:after="0" w:line="3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10795</wp:posOffset>
            </wp:positionV>
            <wp:extent cx="716470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121" w:name="page122"/>
    <w:bookmarkEnd w:id="121"/>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469900</wp:posOffset>
            </wp:positionV>
            <wp:extent cx="1136015" cy="5054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36015" cy="505460"/>
                    </a:xfrm>
                    <a:prstGeom prst="rect">
                      <a:avLst/>
                    </a:prstGeom>
                    <a:noFill/>
                  </pic:spPr>
                </pic:pic>
              </a:graphicData>
            </a:graphic>
          </wp:anchor>
        </w:drawing>
      </w:r>
    </w:p>
    <w:p>
      <w:pPr>
        <w:jc w:val="both"/>
        <w:ind w:left="100" w:firstLine="248"/>
        <w:spacing w:after="0" w:line="255" w:lineRule="auto"/>
        <w:rPr>
          <w:sz w:val="20"/>
          <w:szCs w:val="20"/>
          <w:color w:val="auto"/>
        </w:rPr>
      </w:pPr>
      <w:r>
        <w:rPr>
          <w:rFonts w:ascii="Times New Roman" w:cs="Times New Roman" w:eastAsia="Times New Roman" w:hAnsi="Times New Roman"/>
          <w:sz w:val="14"/>
          <w:szCs w:val="14"/>
          <w:color w:val="auto"/>
        </w:rPr>
        <w:t>This opinion letter is given to you solely for use in connection with the offer and sale of the Securities while the Registration Statement is in effect and may not be relied upon for any other purpose. We assume no obligation to inform you of any facts, circumstances, events or changes in the law that may arise or be brought to our attention after the date of this opinion letter that may alter, affect or modify the opinions or statements expressed herein. Our opinion is expressly limited to the matters set forth above, and we render no opinion, whether by implication or otherwise, as to any other matters relating to the Company, the Securities or the Registration Statement.</w:t>
      </w:r>
    </w:p>
    <w:p>
      <w:pPr>
        <w:spacing w:after="0" w:line="1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/s/ Baker &amp; Mckenzie LLP</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Baker &amp; Mckenzie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-100330</wp:posOffset>
            </wp:positionV>
            <wp:extent cx="357886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3578860" cy="6350"/>
                    </a:xfrm>
                    <a:prstGeom prst="rect">
                      <a:avLst/>
                    </a:prstGeom>
                    <a:noFill/>
                  </pic:spPr>
                </pic:pic>
              </a:graphicData>
            </a:graphic>
          </wp:anchor>
        </w:drawing>
      </w:r>
    </w:p>
    <w:p>
      <w:pPr>
        <w:spacing w:after="0" w:line="3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10795</wp:posOffset>
            </wp:positionV>
            <wp:extent cx="716470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5642610</wp:posOffset>
            </wp:positionH>
            <wp:positionV relativeFrom="paragraph">
              <wp:posOffset>114935</wp:posOffset>
            </wp:positionV>
            <wp:extent cx="1523365" cy="275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1523365"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line="160" w:lineRule="exact"/>
        <w:rPr>
          <w:sz w:val="20"/>
          <w:szCs w:val="20"/>
          <w:color w:val="auto"/>
        </w:rPr>
      </w:pPr>
      <w:r>
        <w:rPr>
          <w:rFonts w:ascii="SimSun" w:cs="SimSun" w:eastAsia="SimSun" w:hAnsi="SimSun"/>
          <w:sz w:val="14"/>
          <w:szCs w:val="14"/>
          <w:color w:val="auto"/>
        </w:rPr>
        <w:t>广东宝臻会计师事务所（普通合伙）</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Ste. 2201, GDH Bay City Centre,</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 Zhujiang West Rd., Guangzhou</w:t>
      </w:r>
    </w:p>
    <w:p>
      <w:pPr>
        <w:spacing w:after="0" w:line="4" w:lineRule="exact"/>
        <w:rPr>
          <w:sz w:val="20"/>
          <w:szCs w:val="20"/>
          <w:color w:val="auto"/>
        </w:rPr>
      </w:pPr>
    </w:p>
    <w:p>
      <w:pPr>
        <w:jc w:val="right"/>
        <w:spacing w:after="0" w:line="171" w:lineRule="exact"/>
        <w:rPr>
          <w:sz w:val="20"/>
          <w:szCs w:val="20"/>
          <w:color w:val="auto"/>
        </w:rPr>
      </w:pPr>
      <w:r>
        <w:rPr>
          <w:rFonts w:ascii="SimSun" w:cs="SimSun" w:eastAsia="SimSun" w:hAnsi="SimSun"/>
          <w:sz w:val="14"/>
          <w:szCs w:val="14"/>
          <w:color w:val="auto"/>
        </w:rPr>
        <w:t>广州市天河区珠江西路</w:t>
      </w:r>
      <w:r>
        <w:rPr>
          <w:rFonts w:ascii="Times New Roman" w:cs="Times New Roman" w:eastAsia="Times New Roman" w:hAnsi="Times New Roman"/>
          <w:sz w:val="14"/>
          <w:szCs w:val="14"/>
          <w:color w:val="auto"/>
        </w:rPr>
        <w:t xml:space="preserve"> 21 </w:t>
      </w:r>
      <w:r>
        <w:rPr>
          <w:rFonts w:ascii="SimSun" w:cs="SimSun" w:eastAsia="SimSun" w:hAnsi="SimSun"/>
          <w:sz w:val="14"/>
          <w:szCs w:val="14"/>
          <w:color w:val="auto"/>
        </w:rPr>
        <w:t>号</w:t>
      </w:r>
    </w:p>
    <w:p>
      <w:pPr>
        <w:spacing w:after="0" w:line="13" w:lineRule="exact"/>
        <w:rPr>
          <w:sz w:val="20"/>
          <w:szCs w:val="20"/>
          <w:color w:val="auto"/>
        </w:rPr>
      </w:pPr>
    </w:p>
    <w:p>
      <w:pPr>
        <w:jc w:val="right"/>
        <w:spacing w:after="0" w:line="171" w:lineRule="exact"/>
        <w:rPr>
          <w:sz w:val="20"/>
          <w:szCs w:val="20"/>
          <w:color w:val="auto"/>
        </w:rPr>
      </w:pPr>
      <w:r>
        <w:rPr>
          <w:rFonts w:ascii="SimSun" w:cs="SimSun" w:eastAsia="SimSun" w:hAnsi="SimSun"/>
          <w:sz w:val="14"/>
          <w:szCs w:val="14"/>
          <w:color w:val="auto"/>
        </w:rPr>
        <w:t>粤海金融中心</w:t>
      </w:r>
      <w:r>
        <w:rPr>
          <w:rFonts w:ascii="Times New Roman" w:cs="Times New Roman" w:eastAsia="Times New Roman" w:hAnsi="Times New Roman"/>
          <w:sz w:val="14"/>
          <w:szCs w:val="14"/>
          <w:color w:val="auto"/>
        </w:rPr>
        <w:t xml:space="preserve"> 2201 </w:t>
      </w:r>
      <w:r>
        <w:rPr>
          <w:rFonts w:ascii="SimSun" w:cs="SimSun" w:eastAsia="SimSun" w:hAnsi="SimSun"/>
          <w:sz w:val="14"/>
          <w:szCs w:val="14"/>
          <w:color w:val="auto"/>
        </w:rPr>
        <w:t>室</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INDEPENDENT REGISTERED PUBLIC ACCOUNTING FIRM’S CONSENT</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of Baird Medical Investment Holdings Limited on Form F-3 of our report dated April 24, 2026, with respect to our audits of the consolidated financial statements of Baird Medical Investment Holdings Limited as of December 31, 2025 and 2024 and for the years ended December 31, 2025, 2024 and 2023, appearing in the Annual Report on Form 20-F of Baird Medical Investment Holdings Limited for the year ended December 31, 2025. We also consent to the reference to our firm under the heading “Experts” in the Prospectus, which is part of this Registration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Guangdong Prouden CPAs GP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Guangdong Prouden CPAs GP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Guangzhou, China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16470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123" w:name="page124"/>
    <w:bookmarkEnd w:id="123"/>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80"/>
        <w:spacing w:after="0"/>
        <w:rPr>
          <w:sz w:val="20"/>
          <w:szCs w:val="20"/>
          <w:color w:val="auto"/>
        </w:rPr>
      </w:pPr>
      <w:r>
        <w:rPr>
          <w:rFonts w:ascii="Arial" w:cs="Arial" w:eastAsia="Arial" w:hAnsi="Arial"/>
          <w:sz w:val="28"/>
          <w:szCs w:val="28"/>
          <w:b w:val="1"/>
          <w:bCs w:val="1"/>
          <w:color w:val="auto"/>
        </w:rPr>
        <w:t>F-3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Baird Medical Investment Holdings Ltd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50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8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Fee</w:t>
            </w:r>
          </w:p>
        </w:tc>
        <w:tc>
          <w:tcPr>
            <w:tcW w:w="9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Carry</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1880" w:type="dxa"/>
            <w:vAlign w:val="bottom"/>
          </w:tcPr>
          <w:p>
            <w:pPr>
              <w:spacing w:after="0"/>
              <w:rPr>
                <w:sz w:val="14"/>
                <w:szCs w:val="14"/>
                <w:color w:val="auto"/>
              </w:rPr>
            </w:pPr>
          </w:p>
        </w:tc>
        <w:tc>
          <w:tcPr>
            <w:tcW w:w="66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74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740" w:type="dxa"/>
            <w:vAlign w:val="bottom"/>
            <w:vMerge w:val="continue"/>
          </w:tcPr>
          <w:p>
            <w:pPr>
              <w:spacing w:after="0"/>
              <w:rPr>
                <w:sz w:val="14"/>
                <w:szCs w:val="14"/>
                <w:color w:val="auto"/>
              </w:rPr>
            </w:pPr>
          </w:p>
        </w:tc>
        <w:tc>
          <w:tcPr>
            <w:tcW w:w="96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6"/>
        </w:trPr>
        <w:tc>
          <w:tcPr>
            <w:tcW w:w="1840" w:type="dxa"/>
            <w:vAlign w:val="bottom"/>
          </w:tcPr>
          <w:p>
            <w:pPr>
              <w:jc w:val="center"/>
              <w:ind w:left="937"/>
              <w:spacing w:after="0" w:line="186" w:lineRule="exact"/>
              <w:rPr>
                <w:sz w:val="20"/>
                <w:szCs w:val="20"/>
                <w:color w:val="auto"/>
              </w:rPr>
            </w:pPr>
            <w:r>
              <w:rPr>
                <w:rFonts w:ascii="Arial" w:cs="Arial" w:eastAsia="Arial" w:hAnsi="Arial"/>
                <w:sz w:val="17"/>
                <w:szCs w:val="17"/>
                <w:b w:val="1"/>
                <w:bCs w:val="1"/>
                <w:color w:val="auto"/>
                <w:w w:val="98"/>
              </w:rPr>
              <w:t>Security</w:t>
            </w:r>
          </w:p>
        </w:tc>
        <w:tc>
          <w:tcPr>
            <w:tcW w:w="1760" w:type="dxa"/>
            <w:vAlign w:val="bottom"/>
            <w:gridSpan w:val="2"/>
          </w:tcPr>
          <w:p>
            <w:pPr>
              <w:ind w:left="100"/>
              <w:spacing w:after="0" w:line="186" w:lineRule="exact"/>
              <w:rPr>
                <w:sz w:val="20"/>
                <w:szCs w:val="20"/>
                <w:color w:val="auto"/>
              </w:rPr>
            </w:pPr>
            <w:r>
              <w:rPr>
                <w:rFonts w:ascii="Arial" w:cs="Arial" w:eastAsia="Arial" w:hAnsi="Arial"/>
                <w:sz w:val="17"/>
                <w:szCs w:val="17"/>
                <w:b w:val="1"/>
                <w:bCs w:val="1"/>
                <w:color w:val="auto"/>
              </w:rPr>
              <w:t>Security Calculation</w:t>
            </w:r>
          </w:p>
        </w:tc>
        <w:tc>
          <w:tcPr>
            <w:tcW w:w="9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Amount</w:t>
            </w:r>
          </w:p>
        </w:tc>
        <w:tc>
          <w:tcPr>
            <w:tcW w:w="8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Maximum</w:t>
            </w:r>
          </w:p>
        </w:tc>
        <w:tc>
          <w:tcPr>
            <w:tcW w:w="10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1880" w:type="dxa"/>
            <w:vAlign w:val="bottom"/>
          </w:tcPr>
          <w:p>
            <w:pPr>
              <w:jc w:val="center"/>
              <w:ind w:left="777"/>
              <w:spacing w:after="0" w:line="186" w:lineRule="exact"/>
              <w:rPr>
                <w:sz w:val="20"/>
                <w:szCs w:val="20"/>
                <w:color w:val="auto"/>
              </w:rPr>
            </w:pPr>
            <w:r>
              <w:rPr>
                <w:rFonts w:ascii="Arial" w:cs="Arial" w:eastAsia="Arial" w:hAnsi="Arial"/>
                <w:sz w:val="17"/>
                <w:szCs w:val="17"/>
                <w:b w:val="1"/>
                <w:bCs w:val="1"/>
                <w:color w:val="auto"/>
                <w:w w:val="96"/>
              </w:rPr>
              <w:t>Amount of</w:t>
            </w:r>
          </w:p>
        </w:tc>
        <w:tc>
          <w:tcPr>
            <w:tcW w:w="1400" w:type="dxa"/>
            <w:vAlign w:val="bottom"/>
            <w:gridSpan w:val="2"/>
          </w:tcPr>
          <w:p>
            <w:pPr>
              <w:ind w:left="20"/>
              <w:spacing w:after="0" w:line="186" w:lineRule="exact"/>
              <w:rPr>
                <w:sz w:val="20"/>
                <w:szCs w:val="20"/>
                <w:color w:val="auto"/>
              </w:rPr>
            </w:pPr>
            <w:r>
              <w:rPr>
                <w:rFonts w:ascii="Arial" w:cs="Arial" w:eastAsia="Arial" w:hAnsi="Arial"/>
                <w:sz w:val="17"/>
                <w:szCs w:val="17"/>
                <w:b w:val="1"/>
                <w:bCs w:val="1"/>
                <w:color w:val="auto"/>
                <w:w w:val="97"/>
              </w:rPr>
              <w:t>Forward Forward</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6"/>
        </w:trPr>
        <w:tc>
          <w:tcPr>
            <w:tcW w:w="1840" w:type="dxa"/>
            <w:vAlign w:val="bottom"/>
          </w:tcPr>
          <w:p>
            <w:pPr>
              <w:jc w:val="center"/>
              <w:ind w:left="937"/>
              <w:spacing w:after="0" w:line="186" w:lineRule="exact"/>
              <w:rPr>
                <w:sz w:val="20"/>
                <w:szCs w:val="20"/>
                <w:color w:val="auto"/>
              </w:rPr>
            </w:pPr>
            <w:r>
              <w:rPr>
                <w:rFonts w:ascii="Arial" w:cs="Arial" w:eastAsia="Arial" w:hAnsi="Arial"/>
                <w:sz w:val="17"/>
                <w:szCs w:val="17"/>
                <w:b w:val="1"/>
                <w:bCs w:val="1"/>
                <w:color w:val="auto"/>
                <w:w w:val="95"/>
              </w:rPr>
              <w:t>Type</w:t>
            </w:r>
          </w:p>
        </w:tc>
        <w:tc>
          <w:tcPr>
            <w:tcW w:w="8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Class</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9"/>
              </w:rPr>
              <w:t>or Carry</w:t>
            </w:r>
          </w:p>
        </w:tc>
        <w:tc>
          <w:tcPr>
            <w:tcW w:w="9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Registered</w:t>
            </w:r>
          </w:p>
        </w:tc>
        <w:tc>
          <w:tcPr>
            <w:tcW w:w="8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10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1880" w:type="dxa"/>
            <w:vAlign w:val="bottom"/>
          </w:tcPr>
          <w:p>
            <w:pPr>
              <w:ind w:left="100"/>
              <w:spacing w:after="0" w:line="186" w:lineRule="exact"/>
              <w:rPr>
                <w:sz w:val="20"/>
                <w:szCs w:val="20"/>
                <w:color w:val="auto"/>
              </w:rPr>
            </w:pPr>
            <w:r>
              <w:rPr>
                <w:rFonts w:ascii="Arial" w:cs="Arial" w:eastAsia="Arial" w:hAnsi="Arial"/>
                <w:sz w:val="17"/>
                <w:szCs w:val="17"/>
                <w:b w:val="1"/>
                <w:bCs w:val="1"/>
                <w:color w:val="auto"/>
              </w:rPr>
              <w:t>Fee Rate Registration</w:t>
            </w:r>
          </w:p>
        </w:tc>
        <w:tc>
          <w:tcPr>
            <w:tcW w:w="6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rPr>
              <w:t>File</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4"/>
              </w:rPr>
              <w:t>Initial</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900" w:type="dxa"/>
            <w:vAlign w:val="bottom"/>
          </w:tcPr>
          <w:p>
            <w:pPr>
              <w:spacing w:after="0"/>
              <w:rPr>
                <w:sz w:val="16"/>
                <w:szCs w:val="16"/>
                <w:color w:val="auto"/>
              </w:rPr>
            </w:pPr>
          </w:p>
        </w:tc>
        <w:tc>
          <w:tcPr>
            <w:tcW w:w="8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10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Price</w:t>
            </w:r>
          </w:p>
        </w:tc>
        <w:tc>
          <w:tcPr>
            <w:tcW w:w="1880" w:type="dxa"/>
            <w:vAlign w:val="bottom"/>
          </w:tcPr>
          <w:p>
            <w:pPr>
              <w:jc w:val="center"/>
              <w:ind w:left="777"/>
              <w:spacing w:after="0" w:line="186" w:lineRule="exact"/>
              <w:rPr>
                <w:sz w:val="20"/>
                <w:szCs w:val="20"/>
                <w:color w:val="auto"/>
              </w:rPr>
            </w:pPr>
            <w:r>
              <w:rPr>
                <w:rFonts w:ascii="Arial" w:cs="Arial" w:eastAsia="Arial" w:hAnsi="Arial"/>
                <w:sz w:val="17"/>
                <w:szCs w:val="17"/>
                <w:b w:val="1"/>
                <w:bCs w:val="1"/>
                <w:color w:val="auto"/>
              </w:rPr>
              <w:t>Fee</w:t>
            </w:r>
          </w:p>
        </w:tc>
        <w:tc>
          <w:tcPr>
            <w:tcW w:w="6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0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-852805</wp:posOffset>
            </wp:positionV>
            <wp:extent cx="7214870" cy="49180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214870" cy="4918075"/>
                    </a:xfrm>
                    <a:prstGeom prst="rect">
                      <a:avLst/>
                    </a:prstGeom>
                    <a:noFill/>
                  </pic:spPr>
                </pic:pic>
              </a:graphicData>
            </a:graphic>
          </wp:anchor>
        </w:drawing>
      </w:r>
    </w:p>
    <w:p>
      <w:pPr>
        <w:jc w:val="center"/>
        <w:ind w:left="10440"/>
        <w:spacing w:after="0" w:line="228" w:lineRule="auto"/>
        <w:rPr>
          <w:sz w:val="20"/>
          <w:szCs w:val="20"/>
          <w:color w:val="auto"/>
        </w:rPr>
      </w:pPr>
      <w:r>
        <w:rPr>
          <w:rFonts w:ascii="Arial" w:cs="Arial" w:eastAsia="Arial" w:hAnsi="Arial"/>
          <w:sz w:val="17"/>
          <w:szCs w:val="17"/>
          <w:b w:val="1"/>
          <w:bCs w:val="1"/>
          <w:color w:val="auto"/>
        </w:rPr>
        <w:t>to be</w:t>
      </w:r>
    </w:p>
    <w:p>
      <w:pPr>
        <w:jc w:val="center"/>
        <w:ind w:left="10440"/>
        <w:spacing w:after="0" w:line="229" w:lineRule="auto"/>
        <w:rPr>
          <w:sz w:val="20"/>
          <w:szCs w:val="20"/>
          <w:color w:val="auto"/>
        </w:rPr>
      </w:pPr>
      <w:r>
        <w:rPr>
          <w:rFonts w:ascii="Arial" w:cs="Arial" w:eastAsia="Arial" w:hAnsi="Arial"/>
          <w:sz w:val="17"/>
          <w:szCs w:val="17"/>
          <w:b w:val="1"/>
          <w:bCs w:val="1"/>
          <w:color w:val="auto"/>
        </w:rPr>
        <w:t>Carried</w:t>
      </w: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Class A</w:t>
      </w:r>
    </w:p>
    <w:p>
      <w:pPr>
        <w:ind w:left="1900"/>
        <w:spacing w:after="0" w:line="236" w:lineRule="auto"/>
        <w:rPr>
          <w:sz w:val="20"/>
          <w:szCs w:val="20"/>
          <w:color w:val="auto"/>
        </w:rPr>
      </w:pPr>
      <w:r>
        <w:rPr>
          <w:rFonts w:ascii="Arial" w:cs="Arial" w:eastAsia="Arial" w:hAnsi="Arial"/>
          <w:sz w:val="17"/>
          <w:szCs w:val="17"/>
          <w:color w:val="auto"/>
        </w:rPr>
        <w:t>Ordinary</w:t>
      </w:r>
    </w:p>
    <w:p>
      <w:pPr>
        <w:ind w:left="1200"/>
        <w:spacing w:after="0" w:line="190" w:lineRule="auto"/>
        <w:tabs>
          <w:tab w:leader="none" w:pos="1880" w:val="left"/>
          <w:tab w:leader="none" w:pos="288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1"/>
          <w:szCs w:val="21"/>
          <w:color w:val="auto"/>
          <w:vertAlign w:val="superscript"/>
        </w:rPr>
        <w:t>Shares,</w:t>
      </w:r>
      <w:r>
        <w:rPr>
          <w:sz w:val="20"/>
          <w:szCs w:val="20"/>
          <w:color w:val="auto"/>
        </w:rPr>
        <w:tab/>
      </w:r>
      <w:r>
        <w:rPr>
          <w:rFonts w:ascii="Arial" w:cs="Arial" w:eastAsia="Arial" w:hAnsi="Arial"/>
          <w:sz w:val="12"/>
          <w:szCs w:val="12"/>
          <w:color w:val="auto"/>
        </w:rPr>
        <w:t>457(o)</w:t>
      </w:r>
    </w:p>
    <w:p>
      <w:pPr>
        <w:ind w:left="1900"/>
        <w:spacing w:after="0" w:line="229" w:lineRule="auto"/>
        <w:rPr>
          <w:sz w:val="20"/>
          <w:szCs w:val="20"/>
          <w:color w:val="auto"/>
        </w:rPr>
      </w:pPr>
      <w:r>
        <w:rPr>
          <w:rFonts w:ascii="Arial" w:cs="Arial" w:eastAsia="Arial" w:hAnsi="Arial"/>
          <w:sz w:val="17"/>
          <w:szCs w:val="17"/>
          <w:color w:val="auto"/>
        </w:rPr>
        <w:t>par value</w:t>
      </w:r>
    </w:p>
    <w:p>
      <w:pPr>
        <w:ind w:left="1900"/>
        <w:spacing w:after="0" w:line="228" w:lineRule="auto"/>
        <w:rPr>
          <w:sz w:val="20"/>
          <w:szCs w:val="20"/>
          <w:color w:val="auto"/>
        </w:rPr>
      </w:pPr>
      <w:r>
        <w:rPr>
          <w:rFonts w:ascii="Arial" w:cs="Arial" w:eastAsia="Arial" w:hAnsi="Arial"/>
          <w:sz w:val="17"/>
          <w:szCs w:val="17"/>
          <w:color w:val="auto"/>
        </w:rPr>
        <w:t>$0.00001</w:t>
      </w:r>
    </w:p>
    <w:p>
      <w:pPr>
        <w:ind w:left="1900"/>
        <w:spacing w:after="0"/>
        <w:rPr>
          <w:sz w:val="20"/>
          <w:szCs w:val="20"/>
          <w:color w:val="auto"/>
        </w:rPr>
      </w:pPr>
      <w:r>
        <w:rPr>
          <w:rFonts w:ascii="Arial" w:cs="Arial" w:eastAsia="Arial" w:hAnsi="Arial"/>
          <w:sz w:val="17"/>
          <w:szCs w:val="17"/>
          <w:color w:val="auto"/>
        </w:rPr>
        <w:t>per share</w:t>
      </w:r>
    </w:p>
    <w:p>
      <w:pPr>
        <w:ind w:left="1200"/>
        <w:spacing w:after="0" w:line="186" w:lineRule="auto"/>
        <w:tabs>
          <w:tab w:leader="none" w:pos="1880" w:val="left"/>
          <w:tab w:leader="none" w:pos="2880" w:val="left"/>
        </w:tabs>
        <w:rPr>
          <w:sz w:val="20"/>
          <w:szCs w:val="20"/>
          <w:color w:val="auto"/>
        </w:rPr>
      </w:pPr>
      <w:r>
        <w:rPr>
          <w:rFonts w:ascii="Arial" w:cs="Arial" w:eastAsia="Arial" w:hAnsi="Arial"/>
          <w:sz w:val="14"/>
          <w:szCs w:val="14"/>
          <w:color w:val="auto"/>
        </w:rPr>
        <w:t>Equity</w:t>
      </w:r>
      <w:r>
        <w:rPr>
          <w:sz w:val="20"/>
          <w:szCs w:val="20"/>
          <w:color w:val="auto"/>
        </w:rPr>
        <w:tab/>
      </w:r>
      <w:r>
        <w:rPr>
          <w:rFonts w:ascii="Arial" w:cs="Arial" w:eastAsia="Arial" w:hAnsi="Arial"/>
          <w:sz w:val="25"/>
          <w:szCs w:val="25"/>
          <w:color w:val="auto"/>
          <w:vertAlign w:val="superscript"/>
        </w:rPr>
        <w:t>Preferred</w:t>
      </w:r>
      <w:r>
        <w:rPr>
          <w:sz w:val="20"/>
          <w:szCs w:val="20"/>
          <w:color w:val="auto"/>
        </w:rPr>
        <w:tab/>
      </w:r>
      <w:r>
        <w:rPr>
          <w:rFonts w:ascii="Arial" w:cs="Arial" w:eastAsia="Arial" w:hAnsi="Arial"/>
          <w:sz w:val="14"/>
          <w:szCs w:val="14"/>
          <w:color w:val="auto"/>
        </w:rPr>
        <w:t>457(o)</w:t>
      </w:r>
    </w:p>
    <w:p>
      <w:pPr>
        <w:ind w:left="1900"/>
        <w:spacing w:after="0"/>
        <w:rPr>
          <w:sz w:val="20"/>
          <w:szCs w:val="20"/>
          <w:color w:val="auto"/>
        </w:rPr>
      </w:pPr>
      <w:r>
        <w:rPr>
          <w:rFonts w:ascii="Arial" w:cs="Arial" w:eastAsia="Arial" w:hAnsi="Arial"/>
          <w:sz w:val="17"/>
          <w:szCs w:val="17"/>
          <w:color w:val="auto"/>
        </w:rPr>
        <w:t>shares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$ 6,905.00</w:t>
            </w:r>
          </w:p>
        </w:tc>
        <w:tc>
          <w:tcPr>
            <w:tcW w:w="0" w:type="dxa"/>
            <w:vAlign w:val="bottom"/>
          </w:tcPr>
          <w:p>
            <w:pPr>
              <w:spacing w:after="0"/>
              <w:rPr>
                <w:sz w:val="1"/>
                <w:szCs w:val="1"/>
                <w:color w:val="auto"/>
              </w:rPr>
            </w:pPr>
          </w:p>
        </w:tc>
      </w:tr>
      <w:tr>
        <w:trPr>
          <w:trHeight w:val="166"/>
        </w:trPr>
        <w:tc>
          <w:tcPr>
            <w:tcW w:w="78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97"/>
              </w:rPr>
              <w:t>50,000,000.00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right"/>
              <w:ind w:right="497"/>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Total Offering Amounts:</w:t>
            </w: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$ 6,905.00</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50,000,000.00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$ 6,905.00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ind w:left="200" w:right="720"/>
        <w:spacing w:after="0" w:line="255" w:lineRule="auto"/>
        <w:rPr>
          <w:sz w:val="20"/>
          <w:szCs w:val="20"/>
          <w:color w:val="auto"/>
        </w:rPr>
      </w:pPr>
      <w:r>
        <w:rPr>
          <w:rFonts w:ascii="Arial" w:cs="Arial" w:eastAsia="Arial" w:hAnsi="Arial"/>
          <w:sz w:val="17"/>
          <w:szCs w:val="17"/>
          <w:color w:val="auto"/>
        </w:rPr>
        <w:t>Pursuant to Rule 416(a), there are also being registered an indeterminable number of additional securities as may be issued to prevent dilution resulting from share subdivisions, share dividends or similar transactions.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are being registered under this registration statement such indeterminate number of ordinary shares, preferred shares, debt securities, warrants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units as may be sold by the registrant from time to time, which collectively shall have an aggregate initial offering price not to exceed</w:t>
      </w:r>
    </w:p>
    <w:p>
      <w:pPr>
        <w:ind w:left="200"/>
        <w:spacing w:after="0"/>
        <w:rPr>
          <w:sz w:val="20"/>
          <w:szCs w:val="20"/>
          <w:color w:val="auto"/>
        </w:rPr>
      </w:pPr>
      <w:r>
        <w:rPr>
          <w:rFonts w:ascii="Arial" w:cs="Arial" w:eastAsia="Arial" w:hAnsi="Arial"/>
          <w:sz w:val="16"/>
          <w:szCs w:val="16"/>
          <w:color w:val="auto"/>
        </w:rPr>
        <w:t>US$50,000,000, or, if any securities are issued for consideration denominated in a foreign currency, such amount as shall result in an aggregate initial</w:t>
      </w:r>
    </w:p>
    <w:p>
      <w:pPr>
        <w:ind w:left="200"/>
        <w:spacing w:after="0" w:line="231" w:lineRule="auto"/>
        <w:rPr>
          <w:sz w:val="20"/>
          <w:szCs w:val="20"/>
          <w:color w:val="auto"/>
        </w:rPr>
      </w:pPr>
      <w:r>
        <w:rPr>
          <w:rFonts w:ascii="Arial" w:cs="Arial" w:eastAsia="Arial" w:hAnsi="Arial"/>
          <w:sz w:val="17"/>
          <w:szCs w:val="17"/>
          <w:color w:val="auto"/>
        </w:rPr>
        <w:t>offering price equivalent to a maximum of US$50,000,000. The securities registered hereunder also include such indeterminate number of ordinary</w:t>
      </w:r>
    </w:p>
    <w:p>
      <w:pPr>
        <w:ind w:left="200"/>
        <w:spacing w:after="0" w:line="228" w:lineRule="auto"/>
        <w:rPr>
          <w:sz w:val="20"/>
          <w:szCs w:val="20"/>
          <w:color w:val="auto"/>
        </w:rPr>
      </w:pPr>
      <w:r>
        <w:rPr>
          <w:rFonts w:ascii="Arial" w:cs="Arial" w:eastAsia="Arial" w:hAnsi="Arial"/>
          <w:sz w:val="17"/>
          <w:szCs w:val="17"/>
          <w:color w:val="auto"/>
        </w:rPr>
        <w:t>shares as may be issued upon conversion, exercise or exchange of convertible debt securities and warrants that provide for such conversion into,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exercise for or exchange into ordinary shares.</w:t>
      </w:r>
    </w:p>
    <w:p>
      <w:pPr>
        <w:spacing w:after="0" w:line="161" w:lineRule="exact"/>
        <w:rPr>
          <w:sz w:val="20"/>
          <w:szCs w:val="20"/>
          <w:color w:val="auto"/>
        </w:rPr>
      </w:pPr>
    </w:p>
    <w:p>
      <w:pPr>
        <w:ind w:left="200" w:right="820"/>
        <w:spacing w:after="0" w:line="255" w:lineRule="auto"/>
        <w:rPr>
          <w:sz w:val="20"/>
          <w:szCs w:val="20"/>
          <w:color w:val="auto"/>
        </w:rPr>
      </w:pPr>
      <w:r>
        <w:rPr>
          <w:rFonts w:ascii="Arial" w:cs="Arial" w:eastAsia="Arial" w:hAnsi="Arial"/>
          <w:sz w:val="17"/>
          <w:szCs w:val="17"/>
          <w:color w:val="auto"/>
        </w:rPr>
        <w:t>Not specified as to each class of securities to be registered pursuant to Instruction 2.A.iii.b to the Calculation of Filing Fee Tables and Related Disclosure in Item 9(b) of Form F-3.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 indeterminate aggregate amount of securities is being registered as may from time to time be sold at indeterminate prices.</w:t>
      </w:r>
    </w:p>
    <w:p>
      <w:pPr>
        <w:spacing w:after="0" w:line="177" w:lineRule="exact"/>
        <w:rPr>
          <w:sz w:val="20"/>
          <w:szCs w:val="20"/>
          <w:color w:val="auto"/>
        </w:rPr>
      </w:pPr>
    </w:p>
    <w:p>
      <w:pPr>
        <w:ind w:left="200" w:right="240"/>
        <w:spacing w:after="0" w:line="257" w:lineRule="auto"/>
        <w:rPr>
          <w:sz w:val="20"/>
          <w:szCs w:val="20"/>
          <w:color w:val="auto"/>
        </w:rPr>
      </w:pPr>
      <w:r>
        <w:rPr>
          <w:rFonts w:ascii="Arial" w:cs="Arial" w:eastAsia="Arial" w:hAnsi="Arial"/>
          <w:sz w:val="16"/>
          <w:szCs w:val="16"/>
          <w:color w:val="auto"/>
        </w:rPr>
        <w:t>Estimated solely for the purpose of calculating the registration fee pursuant to Rule 457(o) under the Securities Act and reflects the maximum offering price of securities registered hereunder in the primary offering. The proposed maximum aggregate offering price of each class of securities offered by the registrant will be determined from time to time by the registrant in connection with the issuance by the registrant of the securities registered hereunder and is not specified as to each class of securities pursuant to the General Instruction II.C. of Form F-3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715010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09"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09"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-981075</wp:posOffset>
            </wp:positionV>
            <wp:extent cx="12700" cy="1430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12700" cy="1430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-981075</wp:posOffset>
            </wp:positionV>
            <wp:extent cx="12700" cy="1430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12700" cy="143002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b w:val="1"/>
          <w:bCs w:val="1"/>
          <w:color w:val="auto"/>
        </w:rPr>
        <w:t>Rules 457(b) and 0-11(a)(2)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495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12000" cy="249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7112000" cy="285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12000" cy="2857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124" w:name="page125"/>
    <w:bookmarkEnd w:id="124"/>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170420" cy="935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70420" cy="9353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7"/>
              </w:rPr>
              <w:t>Table 3: Combined Prospectuses</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320"/>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60" w:type="dxa"/>
            <w:vAlign w:val="bottom"/>
            <w:gridSpan w:val="3"/>
            <w:vMerge w:val="restart"/>
            <w:shd w:val="clear" w:color="auto" w:fill="9ADAF6"/>
          </w:tcPr>
          <w:p>
            <w:pPr>
              <w:ind w:left="120"/>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140" w:type="dxa"/>
            <w:vAlign w:val="bottom"/>
            <w:gridSpan w:val="5"/>
            <w:vMerge w:val="restart"/>
            <w:shd w:val="clear" w:color="auto" w:fill="9ADAF6"/>
          </w:tcPr>
          <w:p>
            <w:pPr>
              <w:ind w:left="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1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ind w:right="20"/>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5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3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2"/>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2"/>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1)"/>
      <w:numFmt w:val="lowerRoman"/>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lowerRoman"/>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1)"/>
      <w:numFmt w:val="lowerRoman"/>
      <w:start w:val="1"/>
    </w:lvl>
  </w:abstractNum>
  <w:abstractNum w:abstractNumId="17">
    <w:nsid w:val="649BB77C"/>
    <w:multiLevelType w:val="hybridMultilevel"/>
    <w:lvl w:ilvl="0">
      <w:lvlJc w:val="left"/>
      <w:lvlText w:val="•"/>
      <w:numFmt w:val="bullet"/>
      <w:start w:val="1"/>
    </w:lvl>
    <w:lvl w:ilvl="1">
      <w:lvlJc w:val="left"/>
      <w:lvlText w:val="(%2)"/>
      <w:numFmt w:val="lowerRoman"/>
      <w:start w:val="2"/>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1)"/>
      <w:numFmt w:val="lowerLetter"/>
      <w:start w:val="2"/>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lowerLetter"/>
      <w:start w:val="1"/>
    </w:lvl>
  </w:abstractNum>
  <w:abstractNum w:abstractNumId="25">
    <w:nsid w:val="15B5AF5C"/>
    <w:multiLevelType w:val="hybridMultilevel"/>
    <w:lvl w:ilvl="0">
      <w:lvlJc w:val="left"/>
      <w:lvlText w:val="(%1)"/>
      <w:numFmt w:val="lowerLetter"/>
      <w:start w:val="2"/>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lowerRoman"/>
      <w:start w:val="4"/>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9"/>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decimal"/>
      <w:start w:val="1"/>
    </w:lvl>
    <w:lvl w:ilvl="1">
      <w:lvlJc w:val="left"/>
      <w:lvlText w:val="%2."/>
      <w:numFmt w:val="lowerRoman"/>
      <w:start w:val="1"/>
    </w:lvl>
  </w:abstractNum>
  <w:abstractNum w:abstractNumId="47">
    <w:nsid w:val="98A3148"/>
    <w:multiLevelType w:val="hybridMultilevel"/>
    <w:lvl w:ilvl="0">
      <w:lvlJc w:val="left"/>
      <w:lvlText w:val="%1"/>
      <w:numFmt w:val="decimal"/>
      <w:start w:val="1"/>
    </w:lvl>
    <w:lvl w:ilvl="1">
      <w:lvlJc w:val="left"/>
      <w:lvlText w:val="%2."/>
      <w:numFmt w:val="lowerRoman"/>
      <w:start w:val="3"/>
    </w:lvl>
  </w:abstractNum>
  <w:abstractNum w:abstractNumId="48">
    <w:nsid w:val="799D0247"/>
    <w:multiLevelType w:val="hybridMultilevel"/>
    <w:lvl w:ilvl="0">
      <w:lvlJc w:val="left"/>
      <w:lvlText w:val="(%1)"/>
      <w:numFmt w:val="decimal"/>
      <w:start w:val="2"/>
    </w:lvl>
    <w:lvl w:ilvl="1">
      <w:lvlJc w:val="left"/>
      <w:lvlText w:val="%2"/>
      <w:numFmt w:val="lowerRoman"/>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lowerRoman"/>
      <w:start w:val="2"/>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4"/>
    </w:lvl>
    <w:lvl w:ilvl="1">
      <w:lvlJc w:val="left"/>
      <w:lvlText w:val="(%2)"/>
      <w:numFmt w:val="lowerRoman"/>
      <w:start w:val="1"/>
    </w:lvl>
  </w:abstractNum>
  <w:abstractNum w:abstractNumId="58">
    <w:nsid w:val="613EFDC5"/>
    <w:multiLevelType w:val="hybridMultilevel"/>
    <w:lvl w:ilvl="0">
      <w:lvlJc w:val="left"/>
      <w:lvlText w:val="(%1)"/>
      <w:numFmt w:val="lowerLetter"/>
      <w:start w:val="6"/>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2"/>
    </w:lvl>
    <w:lvl w:ilvl="1">
      <w:lvlJc w:val="left"/>
      <w:lvlText w:val="(%2)"/>
      <w:numFmt w:val="lowerRoman"/>
      <w:start w:val="1"/>
    </w:lvl>
  </w:abstractNum>
  <w:abstractNum w:abstractNumId="65">
    <w:nsid w:val="3B0FD379"/>
    <w:multiLevelType w:val="hybridMultilevel"/>
    <w:lvl w:ilvl="0">
      <w:lvlJc w:val="left"/>
      <w:lvlText w:val="(%1)"/>
      <w:numFmt w:val="lowerLetter"/>
      <w:start w:val="7"/>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8"/>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1">
    <w:nsid w:val="7FFFCA11"/>
    <w:multiLevelType w:val="hybridMultilevel"/>
    <w:lvl w:ilvl="0">
      <w:lvlJc w:val="left"/>
      <w:lvlText w:val="(%1)"/>
      <w:numFmt w:val="lowerLetter"/>
      <w:start w:val="2"/>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3"/>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5"/>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4"/>
    </w:lvl>
  </w:abstractNum>
  <w:abstractNum w:abstractNumId="80">
    <w:nsid w:val="76272110"/>
    <w:multiLevelType w:val="hybridMultilevel"/>
    <w:lvl w:ilvl="0">
      <w:lvlJc w:val="left"/>
      <w:lvlText w:val="(%1)"/>
      <w:numFmt w:val="lowerLetter"/>
      <w:start w:val="8"/>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Roman"/>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2"/>
    </w:lvl>
  </w:abstractNum>
  <w:abstractNum w:abstractNumId="86">
    <w:nsid w:val="68EBC550"/>
    <w:multiLevelType w:val="hybridMultilevel"/>
    <w:lvl w:ilvl="0">
      <w:lvlJc w:val="left"/>
      <w:lvlText w:val="%1."/>
      <w:numFmt w:val="decimal"/>
      <w:start w:val="3"/>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decimal"/>
      <w:start w:val="4"/>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lowerRoman"/>
      <w:start w:val="9"/>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jpeg"/><Relationship Id="rId171" Type="http://schemas.openxmlformats.org/officeDocument/2006/relationships/image" Target="media/image158.png"/><Relationship Id="rId172" Type="http://schemas.openxmlformats.org/officeDocument/2006/relationships/image" Target="media/image159.jpeg"/><Relationship Id="rId173" Type="http://schemas.openxmlformats.org/officeDocument/2006/relationships/image" Target="media/image160.png"/><Relationship Id="rId174" Type="http://schemas.openxmlformats.org/officeDocument/2006/relationships/image" Target="media/image161.jpeg"/><Relationship Id="rId175" Type="http://schemas.openxmlformats.org/officeDocument/2006/relationships/image" Target="media/image162.png"/><Relationship Id="rId176" Type="http://schemas.openxmlformats.org/officeDocument/2006/relationships/image" Target="media/image163.jpe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jpe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48" Type="http://schemas.openxmlformats.org/officeDocument/2006/relationships/hyperlink" Target="https://www.sec.gov/ix?doc=/Archives/edgar/data/1982444/000110465926048641/bdmd-20251231x20f.htm" TargetMode="External"/><Relationship Id="rId101" Type="http://schemas.openxmlformats.org/officeDocument/2006/relationships/hyperlink" Target="https://www.sec.gov/Archives/edgar/data/1982444/000110465924107388/tm2425701d1_ex1-1.htm" TargetMode="External"/><Relationship Id="rId102" Type="http://schemas.openxmlformats.org/officeDocument/2006/relationships/hyperlink" Target="https://www.sec.gov/Archives/edgar/data/1982444/000110465924107388/tm2425701d1_ex2-1.htm" TargetMode="External"/><Relationship Id="rId103" Type="http://schemas.openxmlformats.org/officeDocument/2006/relationships/hyperlink" Target="https://www.sec.gov/Archives/edgar/data/1982444/000110465924107388/tm2425701d1_ex2-2.htm" TargetMode="External"/><Relationship Id="rId104" Type="http://schemas.openxmlformats.org/officeDocument/2006/relationships/hyperlink" Target="http://www.sec.gov/Archives/edgar/data/1852749/000110465921129843/tm2114962d14_ex4-1.htm" TargetMode="External"/><Relationship Id="rId105" Type="http://schemas.openxmlformats.org/officeDocument/2006/relationships/hyperlink" Target="https://www.sec.gov/Archives/edgar/data/1982444/000110465924107388/tm2425701d1_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2026-05-22T08:04:29Z</dcterms:created>
  <dcterms:modified xsi:type="dcterms:W3CDTF">2026-05-22T08:04:29Z</dcterms:modified>
</cp:coreProperties>
</file>