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907-1_f3a.htm"/>
        <w:bookmarkStart w:id="1" w:name="kstm26219071_f3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6">
                <wp:simplePos x="0" y="0"/>
                <wp:positionH relativeFrom="page">
                  <wp:posOffset>304800</wp:posOffset>
                </wp:positionH>
                <wp:positionV relativeFrom="page">
                  <wp:posOffset>9383395</wp:posOffset>
                </wp:positionV>
                <wp:extent cx="7560310" cy="381000"/>
                <wp:effectExtent l="0" t="0" r="0" b="0"/>
                <wp:wrapNone/>
                <wp:docPr id="1" name="Frame4"/>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2" name="Frame3"/>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304800</wp:posOffset>
                </wp:positionH>
                <wp:positionV relativeFrom="page">
                  <wp:posOffset>9383395</wp:posOffset>
                </wp:positionV>
                <wp:extent cx="7560310" cy="381000"/>
                <wp:effectExtent l="0" t="0" r="0" b="0"/>
                <wp:wrapNone/>
                <wp:docPr id="3" name="Frame2"/>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333-296153</w:t>
      </w:r>
      <w:r>
        <w:rPr>
          <w:rFonts w:ascii="Times New Roman;Times;serif" w:hAnsi="Times New Roman;Times;serif"/>
          <w:b/>
          <w:i w:val="false"/>
          <w:caps w:val="false"/>
          <w:smallCaps w:val="false"/>
          <w:color w:val="000000"/>
          <w:sz w:val="18"/>
        </w:rPr>
        <w:t>​</w:t>
      </w:r>
    </w:p>
    <w:p>
      <w:pPr>
        <w:pStyle w:val="TextBody"/>
        <w:bidi w:val="0"/>
        <w:spacing w:before="2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7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200"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5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Amendment No. 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z w:val="18"/>
        </w:rPr>
        <w:t xml:space="preserve"> </w:t>
      </w:r>
    </w:p>
    <w:p>
      <w:pPr>
        <w:pStyle w:val="TextBody"/>
        <w:bidi w:val="0"/>
        <w:spacing w:lineRule="atLeast" w:line="30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F-3</w:t>
      </w:r>
      <w:r>
        <w:rPr>
          <w:rFonts w:ascii="Times New Roman;Times;serif" w:hAnsi="Times New Roman;Times;serif"/>
          <w:b/>
          <w:i w:val="false"/>
          <w:caps w:val="false"/>
          <w:smallCaps w:val="false"/>
          <w:color w:val="000000"/>
          <w:sz w:val="28"/>
        </w:rPr>
        <w:t xml:space="preserve"> </w:t>
      </w:r>
    </w:p>
    <w:p>
      <w:pPr>
        <w:pStyle w:val="TextBody"/>
        <w:bidi w:val="0"/>
        <w:spacing w:lineRule="atLeast" w:line="190" w:before="20" w:after="283"/>
        <w:jc w:val="center"/>
        <w:rPr>
          <w:rFonts w:ascii="Times New Roman;Times;serif" w:hAnsi="Times New Roman;Times;serif"/>
          <w:b/>
          <w:i/>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 xml:space="preserve">UNDER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92"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Baird Medical Investment Holdings Limited</w:t>
      </w:r>
      <w:r>
        <w:rPr>
          <w:rFonts w:ascii="Times New Roman;Times;serif" w:hAnsi="Times New Roman;Times;serif"/>
          <w:b w:val="false"/>
          <w:i w:val="false"/>
          <w:caps w:val="false"/>
          <w:smallCaps w:val="false"/>
          <w:color w:val="000000"/>
          <w:spacing w:val="6"/>
          <w:sz w:val="28"/>
        </w:rPr>
        <w:t xml:space="preserve">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9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12"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Not Applicable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(Translation of registrant’s name into English)</w:t>
      </w:r>
      <w:r>
        <w:rPr>
          <w:rFonts w:ascii="Times New Roman;Times;serif" w:hAnsi="Times New Roman;Times;serif"/>
          <w:b w:val="false"/>
          <w:i w:val="false"/>
          <w:caps w:val="false"/>
          <w:smallCaps w:val="false"/>
          <w:color w:val="000000"/>
          <w:sz w:val="16"/>
        </w:rPr>
        <w:t xml:space="preserve"> </w:t>
      </w:r>
    </w:p>
    <w:p>
      <w:pPr>
        <w:pStyle w:val="TextBody"/>
        <w:bidi w:val="0"/>
        <w:spacing w:before="82"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pPr>
            <w:r>
              <w:rPr>
                <w:spacing w:val="-4"/>
              </w:rPr>
              <w:t>Cayman Islands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pPr>
            <w:r>
              <w:rPr>
                <w:spacing w:val="-4"/>
              </w:rPr>
              <w:t>Not Applicable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lineRule="atLeast" w:line="180" w:before="0" w:after="0"/>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5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Room 202, 2/F, Baide Building, Building 11, No. 15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Rongtong Street, Yuexiu District, Guangzhou, Peoples Republic of China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(86) 20 8218-5926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and telephone number of registrant’s principal executive offices)</w:t>
      </w:r>
      <w:r>
        <w:rPr>
          <w:rFonts w:ascii="Times New Roman;Times;serif" w:hAnsi="Times New Roman;Times;serif"/>
          <w:b w:val="false"/>
          <w:i w:val="false"/>
          <w:caps w:val="false"/>
          <w:smallCaps w:val="false"/>
          <w:color w:val="000000"/>
          <w:sz w:val="16"/>
        </w:rPr>
        <w:t xml:space="preserve"> </w:t>
      </w:r>
    </w:p>
    <w:p>
      <w:pPr>
        <w:pStyle w:val="TextBody"/>
        <w:bidi w:val="0"/>
        <w:spacing w:before="8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Puglisi &amp; Associates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850 Library Avenue, Suite 204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Newark, DE 19711</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and telephone number of agent for service)</w:t>
      </w:r>
      <w:r>
        <w:rPr>
          <w:rFonts w:ascii="Times New Roman;Times;serif" w:hAnsi="Times New Roman;Times;serif"/>
          <w:b w:val="false"/>
          <w:i w:val="false"/>
          <w:caps w:val="false"/>
          <w:smallCaps w:val="false"/>
          <w:color w:val="000000"/>
          <w:sz w:val="16"/>
        </w:rPr>
        <w:t xml:space="preserve"> </w:t>
      </w:r>
    </w:p>
    <w:p>
      <w:pPr>
        <w:pStyle w:val="TextBody"/>
        <w:bidi w:val="0"/>
        <w:spacing w:before="8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2"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Dan Ouyang,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K. Ronnie Li,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Baker &amp; McKenzie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Suite 3401, China World Office 2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China World Trade Centre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 Jianguomenwai Dajie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Beijing 100004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People’s Republic of China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(86-10) 6535-3800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2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From time to time after the effective date of this registration statement.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only securities being registered on this Form are being offered pursuant to dividend or interest reinvestment plans, please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an emerging growth company as defined in Rule 405 of the Securities Act of 1933. </w:t>
      </w:r>
    </w:p>
    <w:p>
      <w:pPr>
        <w:pStyle w:val="TextBody"/>
        <w:bidi w:val="0"/>
        <w:spacing w:lineRule="atLeast" w:line="190" w:before="4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Emerging growth company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8" w:after="0"/>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10033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10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260"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6, 2026</w:t>
      </w:r>
      <w:r>
        <w:rPr>
          <w:rFonts w:ascii="Times New Roman;Times;serif" w:hAnsi="Times New Roman;Times;serif"/>
          <w:b/>
          <w:i w:val="false"/>
          <w:caps w:val="false"/>
          <w:smallCaps w:val="false"/>
          <w:color w:val="FC001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US$50,000,000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ORDINARY SHARES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PREFERRED SHARES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DEBT SECURITIES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WARRANTS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UNITS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BAIRD MEDICAL INVESTMENT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Baird Medical Investment Holdings Limited (“we,” “us,” “Baird Medical” or “our company”) may from time to time in one or more offerings offer and sell ordinary shares, par value $0.0001 per share (the “Ordinary Shares”), preferred shares, debt securities, warrants, either individually or as units composed of one or more of the other securities, of an aggregate offering price of up to US$50,000,000.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remains below US$75,000,000. As of the date of this prospectus, the aggregate market value of our outstanding Ordinary Shares was below US$75 million, and accordingly, our public float was also below US$75 million. During the 12 calendar months prior to and including the date of this prospectus, we have not offered or sold any securities pursuant to General Instruction I.B.5 of Form F-3.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our Warrants to purchase Ordinary Shares are listed on the Nasdaq Stock Market LLC (“Nasdaq”), under the trading symbols “BDMD” and “BDMD W,” respectively. On August 5, 2026, the closing price for our Ordinary Shares on Nasdaq was US$1.07, and the closing price for our Warrants on Nasdaq was US$0.047.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holding company and not a Chinese operating company. We carry out our business in China through our wholly-owned PRC subsidiaries. We face various legal and operational risks and uncertainties associated with being based in or having substantially all of our operations in China. We are subject to complex and evolving laws and regulations in China. The PRC government has indicated an intent to exert more oversight and control over offerings that are conducted overseas and/or foreign investment in China-based issuers, and initiated various regulatory actions and made various public statements, some of which are published with very short notice, including cracking down on illegal activities in the securities market, enhancing supervision over China-based companies listed overseas, adopting new measures to extend the scope of cybersecurity reviews, and expanding efforts in anti-monopoly enforcement. For instance, we face risks associated with regulatory approvals on overseas offerings and oversight on cybersecurity and data privacy, which may impact our ability to conduct certain business, accept foreign investments, or list and conduct offerings on a U.S. or other foreign stock exchange. These risks could result in a material adverse change in our operations and the value of the Ordinary Shares, significantly limit or completely hinder our ability to offer or continue to offer securities to investors, or cause the value of such securities to significantly decline or become worthless. For details, see “Item 3. Key Information — D. Risk Factors — Risks Related to Doing Business in China” in our annual report on Form 20-F for the year ended December 31, 2025 filed with the SEC on April 24, 2026, as amended by Amendment No. 1 on Form 20-F/A filed with the SEC on July 27, 2026 (the “2025 20-F”).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 number of prohibitions, restrictions and potential delisting risk under the Holding Foreign Companies Accountable Act, as amended by the Consolidated Appropriations Act 2023 (the “HFCAA”). Pursuant to the HFCAA and related regulations, if we have filed an audit report issued by a registered public accounting firm that the Public Company Accounting Oversight Board (the “PCAOB”) has determined that it is unable to inspect and investigate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We dismissed Marcum Asia CPAs LLP (“Marcum Asia”) and appointed Kreit &amp; Chiu CPA LLP (“Kreit &amp; Chiu”) as our independent registered public accounting firm, effective from January 24, 2025. We subsequently dismissed Kreit &amp; Chiu and appointed Guangdong Prouden CPAs GP (“Guangdong Prouden”) as our independent registered public accounting firm. Marcum Asia and Kreit &amp; Chiu, our former auditors, are independent public accounting firms registered with the PCAOB, are headquartered in the United States, and were not identified in the PCAOB’s 2021 determination report. Our current auditor, Guangdong Prouden, is an independent registered public accounting firm registered with the PCAOB, is headquartered in Guangzhou, China, and is subject to PCAOB inspections on a regular basis. Guangdong Prouden is not identified in the report issued by PCAOB on December 16, 2021 as a firm subject to the PCAOB’s determination.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we will be identified as a “Commission-identified Issuer,” and upon two consecutive years of non-inspection under the HFCAA, the Ordinary Shares will be delisted from the Nasdaq Stock Market and will not be permitted for trading over the counter either.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may be transferred among Baird Medical and our PRC subsidiaries, in the following manners: (1) funds may be transferred to our PRC subsidiaries from Baird Medical as needed through our subsidiaries in the British Virgin Islands (“BVI”) and Hong Kong in the form of capital contribution or shareholder loan, as the case may be; (2) dividends or other distributions may be paid by our PRC subsidiaries to Baird Medical through our subsidiaries in the BVI and Hong Kong; and (3) our PRC subsidiaries may lend to and borrow from each other from time to time for business operation purposes.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For details, see “Prospectus Summary — Implication of Being a Company with the Holding Company Structure — Cash and asset flows through our organization.”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See “Prospectus Summary — Implication of Being a Company with the Holding Company Structure — Dividend distribution and taxation.” </w:t>
      </w:r>
    </w:p>
    <w:p>
      <w:pPr>
        <w:pStyle w:val="TextBody"/>
        <w:bidi w:val="0"/>
        <w:spacing w:lineRule="atLeast" w:line="24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17, 2023, the CSRC promulgated Trial Administrative Measures of the Overseas Securities Offering and Listing by Domestic Companies (the “Overseas Listing Trial Measures”) and circulated five supporting guidelines, which became effective on March 31, 2023. The Overseas Listing Trial Measures regulate both direct and indirect overseas offering and listing of PRC domestic companies’ securities by adopting a filing-based regulatory regime. We completed the filing procedures in connection with the business combination with ExcelFin Acquisition Corp. (“ExcelFin”) (such business combination, the “Business Combination”) under the Overseas Listing Trial Measures on January 2, 2024, and the result of such CSRC approval was posted on the official website of the CSRC on the same date. 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In addition, we cannot guarantee that new rules or regulations promulgated in the future will not impose any additional requirement or otherwise tightening the regulations on companies with contractual arrangements. If we violate or are deemed to have violated any current or future rules or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regulatory agencies in China may impose fines and penalties on our operations in China, limit its operating privileges in China, delay or restrict the repatriation of the proceeds from offshore fund-raising activities into the PRC or take other actions that could materially adversely affect our business, financial condition and results of operations, as well as the trading price of our Ordinary Shares. See “Prospectus Summary — Regulatory Matters” and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cash or assets in the business are in mainland China or Hong Kong or a mainland China or Hong Kong subsidiary, the funds or assets may not be available to fund operations or for other use outside of mainland China or Hong Kong due to interventions in or the imposition of restrictions and limitations on the ability of Baird Medical and our subsidiaries to transfer cash or assets. The PRC government imposes certain restrictions on the convertibility of RMB into foreign currencies and the remittance of funds out of China, which may restrict the transfer of cash between Baird Medical and our PRC subsidiaries or the investors. Under PRC laws and regulations, our PRC subsidiaries are subject to certain restrictions with respect to payment of dividends or otherwise transfers of any of their net assets to us. Remittance of dividends by our PRC subsidiaries out of China is also subject to certain procedures with the banks designated by the PRC State Administration of Foreign Exchange.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“Prospectus Summary — Implication of Being a Company with the Holding Company Structure — Cash and asset flows through our organization,”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used in the Jumpstart Our Business Startups Act of 2012, as amended, and, as such, may elect to comply with certain reduced public company reporting requirements in future reports. </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within the meaning of the rules under the Securities Exchange Act of 1934, as amended (the “Exchange Act”), and as such we are exempt from certain provisions of the securities rules and regulations in the United States that are applicable to U.S. domestic issuers, such as the rules regulating solicitation of proxies and certain insider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 </w:t>
      </w:r>
    </w:p>
    <w:p>
      <w:pPr>
        <w:pStyle w:val="TextBody"/>
        <w:bidi w:val="0"/>
        <w:spacing w:lineRule="atLeast" w:line="230" w:before="160" w:after="283"/>
        <w:ind w:left="1260"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a high degree of risk. See “Risk Factors” beginning on page </w:t>
      </w:r>
      <w:hyperlink w:anchor="tRIFA">
        <w:r>
          <w:rPr>
            <w:rStyle w:val="InternetLink"/>
          </w:rPr>
          <w:t>11</w:t>
        </w:r>
      </w:hyperlink>
      <w:r>
        <w:rPr>
          <w:rFonts w:ascii="Times New Roman;Times;serif" w:hAnsi="Times New Roman;Times;serif"/>
          <w:b/>
          <w:i w:val="false"/>
          <w:caps w:val="false"/>
          <w:smallCaps w:val="false"/>
          <w:color w:val="000000"/>
          <w:spacing w:val="-4"/>
          <w:sz w:val="20"/>
        </w:rPr>
        <w:t xml:space="preserve"> of this prospectus and other risk factors contained in the documents incorporated by reference herein for a discussion of information that should be considered in connection with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26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other regulatory body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741"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DATED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08"/>
        <w:gridCol w:w="109"/>
        <w:gridCol w:w="109"/>
        <w:gridCol w:w="109"/>
        <w:gridCol w:w="109"/>
        <w:gridCol w:w="3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IODB">
              <w:r>
                <w:rPr>
                  <w:rStyle w:val="InternetLink"/>
                  <w:spacing w:val="4"/>
                </w:rPr>
                <w:t>9</w:t>
              </w:r>
            </w:hyperlink>
            <w:hyperlink w:anchor="tIOD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SNRF">
              <w:r>
                <w:rPr>
                  <w:rStyle w:val="InternetLink"/>
                  <w:spacing w:val="4"/>
                </w:rPr>
                <w:t>10</w:t>
              </w:r>
            </w:hyperlink>
            <w:hyperlink w:anchor="t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RIFA">
              <w:r>
                <w:rPr>
                  <w:rStyle w:val="InternetLink"/>
                  <w:spacing w:val="4"/>
                </w:rPr>
                <w:t>11</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UOP">
              <w:r>
                <w:rPr>
                  <w:rStyle w:val="InternetLink"/>
                  <w:spacing w:val="4"/>
                </w:rPr>
                <w:t>18</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OS">
              <w:r>
                <w:rPr>
                  <w:rStyle w:val="InternetLink"/>
                  <w:spacing w:val="4"/>
                </w:rPr>
                <w:t xml:space="preserve">DESCRIPTION OF OUR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OS">
              <w:r>
                <w:rPr>
                  <w:rStyle w:val="InternetLink"/>
                  <w:spacing w:val="4"/>
                </w:rPr>
                <w:t>19</w:t>
              </w:r>
            </w:hyperlink>
            <w:hyperlink w:anchor="t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SC">
              <w:r>
                <w:rPr>
                  <w:rStyle w:val="InternetLink"/>
                  <w:spacing w:val="4"/>
                </w:rPr>
                <w:t>20</w:t>
              </w:r>
            </w:hyperlink>
            <w:hyperlink w:anchor="tDOS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PS">
              <w:r>
                <w:rPr>
                  <w:rStyle w:val="InternetLink"/>
                  <w:spacing w:val="4"/>
                </w:rPr>
                <w:t>DESCRIPTION OF PREFERRED SHARES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PS">
              <w:r>
                <w:rPr>
                  <w:rStyle w:val="InternetLink"/>
                  <w:spacing w:val="4"/>
                </w:rPr>
                <w:t>36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WA">
              <w:r>
                <w:rPr>
                  <w:rStyle w:val="InternetLink"/>
                  <w:spacing w:val="4"/>
                </w:rPr>
                <w:t>DESCRIPTION OF WARRANTS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WA">
              <w:r>
                <w:rPr>
                  <w:rStyle w:val="InternetLink"/>
                  <w:spacing w:val="4"/>
                </w:rPr>
                <w:t>37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DODS">
              <w:r>
                <w:rPr>
                  <w:rStyle w:val="InternetLink"/>
                  <w:spacing w:val="4"/>
                </w:rPr>
                <w:t>DESCRIPTION OF DEBT SECURITIES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DODS">
              <w:r>
                <w:rPr>
                  <w:rStyle w:val="InternetLink"/>
                  <w:spacing w:val="4"/>
                </w:rPr>
                <w:t>43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DOUN">
              <w:r>
                <w:rPr>
                  <w:rStyle w:val="InternetLink"/>
                  <w:spacing w:val="4"/>
                </w:rPr>
                <w:t>DESCRIPTION OF UNITS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DOUN">
              <w:r>
                <w:rPr>
                  <w:rStyle w:val="InternetLink"/>
                  <w:spacing w:val="4"/>
                </w:rPr>
                <w:t>45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POD">
              <w:r>
                <w:rPr>
                  <w:rStyle w:val="InternetLink"/>
                  <w:spacing w:val="4"/>
                </w:rPr>
                <w:t>46</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TAX">
              <w:r>
                <w:rPr>
                  <w:rStyle w:val="InternetLink"/>
                  <w:spacing w:val="4"/>
                </w:rPr>
                <w:t>49</w:t>
              </w:r>
            </w:hyperlink>
            <w:hyperlink w:anchor="tTAX">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ind w:left="200" w:right="0" w:hanging="200"/>
              <w:jc w:val="left"/>
              <w:rPr/>
            </w:pPr>
            <w:hyperlink w:anchor="tEOCL">
              <w:r>
                <w:rPr>
                  <w:rStyle w:val="InternetLink"/>
                  <w:spacing w:val="4"/>
                </w:rPr>
                <w:t xml:space="preserve">ENFORCEABILITY OF CIVIL LIABILITIES AND AGENT FOR SERVICE OF PROCESS IN THE UNITED STATES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EOCL">
              <w:r>
                <w:rPr>
                  <w:rStyle w:val="InternetLink"/>
                  <w:spacing w:val="4"/>
                </w:rPr>
                <w:t>50</w:t>
              </w:r>
            </w:hyperlink>
            <w:hyperlink w:anchor="tEOC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ERTO">
              <w:r>
                <w:rPr>
                  <w:rStyle w:val="InternetLink"/>
                  <w:spacing w:val="4"/>
                </w:rPr>
                <w:t xml:space="preserve">EXPENSES RELATED TO THE OFFERING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RTO">
              <w:r>
                <w:rPr>
                  <w:rStyle w:val="InternetLink"/>
                  <w:spacing w:val="4"/>
                </w:rPr>
                <w:t>52</w:t>
              </w:r>
            </w:hyperlink>
            <w:hyperlink w:anchor="tERT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LEMA">
              <w:r>
                <w:rPr>
                  <w:rStyle w:val="InternetLink"/>
                  <w:spacing w:val="4"/>
                </w:rPr>
                <w:t>53</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08"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80" w:type="dxa"/>
            <w:tcBorders/>
            <w:vAlign w:val="center"/>
          </w:tcPr>
          <w:p>
            <w:pPr>
              <w:pStyle w:val="TableContents"/>
              <w:bidi w:val="0"/>
              <w:spacing w:before="0" w:after="283"/>
              <w:jc w:val="right"/>
              <w:rPr/>
            </w:pPr>
            <w:hyperlink w:anchor="tEXP">
              <w:r>
                <w:rPr>
                  <w:rStyle w:val="InternetLink"/>
                  <w:spacing w:val="4"/>
                </w:rPr>
                <w:t>54</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08"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ABOUT 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80" w:type="dxa"/>
            <w:tcBorders/>
            <w:shd w:fill="CCEEFF" w:val="clear"/>
            <w:vAlign w:val="center"/>
          </w:tcPr>
          <w:p>
            <w:pPr>
              <w:pStyle w:val="TableContents"/>
              <w:bidi w:val="0"/>
              <w:spacing w:before="0" w:after="283"/>
              <w:jc w:val="right"/>
              <w:rPr/>
            </w:pPr>
            <w:hyperlink w:anchor="tWYCF">
              <w:r>
                <w:rPr>
                  <w:rStyle w:val="InternetLink"/>
                  <w:spacing w:val="4"/>
                </w:rPr>
                <w:t>55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Baird Medical Investment Holdings Limited filed with the SEC, utilizing a “shelf” registration process. By using a shelf registration statement, we may, from time to time, sell the securities described in this prospectus in one or more offerings. This prospectus includes important information about us, the securities being offered and other information you should know before investing. Any prospectus supplement that we file in connection with any specific offering by us may also add, update, or change information in this prospectus or any prospectus supplement. If there is any inconsistency between the information contained in this prospectus and any prospectus supplement, you should rely on the information contained in that particular prospectus supplement. You should read this prospectus, any applicable prospectus supplement, together with the additional information about us described in the section below entitled “Where You Can Find More Information About Us” and “Information Incorporated by Reference.” You should rely only on information contained in this prospectus and any applicable prospectus supplement. We have not authorized anyone to provide you with information different from that contained in this prospectus or any prospectus supplement. The information contained in this prospectus is accurate only as of the date on the front cover of the prospectus. You should not assume that the information contained in this prospectus is accurate as of any other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 securities from time to time at fixed prices, at market prices or at negotiated prices, to or through underwriters, to other purchasers, through agents, or through a combination of these methods, on a continuous or delayed basis. See “Plan of Distribution.” A prospectus supplement, if required, may describe the terms of the plan of distribution and set forth the names of any agents, underwriters or dealers involved in the sale of securities.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indicated or unless the context otherwise requires,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China” and “PRC” refers to the People’s Republic of China, excluding, for the purposes of this prospectus only, Taiwan, the Hong Kong Special Administrative Region and the Macau Special Administrative Region; however, the legal and operational risks associated with operating in China discussed in this prospectus also apply to operations in the Hong Kong Special Administrative Region and the Macau Special Administrative Region;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RMB” and “Renminbi” refers to the legal currency of China;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shares” and “Ordinary Shares” refers to our ordinary shares, par value US$0.0001 per share;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US$” and “U.S. dollars” refers to the legal currency of the United States of America; and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we,” “us,” “our company,” “our,” “Baird Medical” and “our group” refers to Baird Medical Investment Holdings Limited, our Cayman Islands holding company, its predecessor entity and its subsidiaries, as the context requires.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our consolidated financial statements and the related notes, and other information incorporated by reference in this prospectus from our other filings with the SEC,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Business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specialized healthcare innovator dedicated exclusively to thyroid related diseases. By combining extensive clinical understanding with cutting-edge technologies, we aim to transform traditional thyroid treatment through intelligent, non-invasive solutions. Our mission is to build an ecosystem that spans the entire treatment process, spanning from early screening and diagnosis to robotic-assisted ablation and post-treatment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strengths lie in our successful development and commercialization of the thyroid microwave ablation system, as well as our active R&amp;D pipeline featuring AI-integrated robotic systems. Our approach integrates hardware innovation, software intelligence and a comprehensive system mindset, positioning us to lead in a highly specialized and globally significant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What set us unique are our category focus, our full-stack technology strategy and our proven regulatory and commercial execution. Backed by a vision to deliver safer, faster, and more accurate thyroid care to patients worldwide, we are positioned to become the first global platform company dedicated to precision thyroid health.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Microwave ablation is a minimally invasive treatment technique that denaturalizes and coagulates the protein of tumor cells with extreme heat generated by microwave energy. Microwave ablation treatments have been applied to benign and malignant tumors, and we believe they are safer, less invasive and easier to operate with faster recovery periods and lower complication rates for patients, as compared to traditional treatment methods such as surgery, radiotherapy, interventional radiology, chemotherapy, targeted therapy and immunotherapy. We are not aware of any research suggesting that such traditional treatments can also prevent cancer progression by curbing benign tumors from developing into malignant tumors. The type of tumor treatment depends on the patient’s individual circumstances, including the size and characteristics of the tumor, the desired outcome, and the acceptable cost. Some types of benign tumors have the potential of transforming into malignant ones through a process known as “cancer progression.” Microwave ablation treatments can help to prevent cancer progression by curbing a benign tumor from developing into a malignant tumor, and management believes that patients diagnosed with benign tumors are inclined to seek tumor removal to avoid the risks of cancer progression.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 offerings and pipeline products mainly consist of microwave ablation apparatus and needles. Our product offerings available for sale include microwave ablation apparatus approved for the treatment of live cancer and thyroid nodule, long microwave ablation needles, and fine microwave ablation needles. Currently, we hold two registration certificates for Class III medical devices specifically approved for the treatment of liver cancer and thyroid nodules, and one registration certificate for Class II medical devices in the PRC. Under PRC laws and regulations, Class II medical devices are those with moderate risks and are strictly controlled and administered, and Class III medical devices are those with relatively high risks and are strictly controlled and administered through special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research and development team, led by our co-chief technical officers, Mr. Rongjian Lu, and our research and development partners, including Nanjing Forestry University and Zhuhai People’s Hospital, we have focused our development efforts on additional types of microwave ablation medical devices to meet market demand, and have also developed a product pipeline to achieve more extensive products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products are ultimately sold to hospitals through direct sales, deliverers, or distributors. Benefiting from our distributors’ established channels and resources, we have been able to cut costs and time in reaching target markets compared to the costs and time required to distribute those products through direct sales. With a network of qualified deliverers, we have been able to sell products to a large group of hospitals. With our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solid and strategically managed network of deliverers and distributors and close collaboration with medical associations and doctors through our sales and marketing efforts, we have seen the number of hospitals in China purchasing our products increase from approximately 430 in 2022 to approximately 614 in 2025, with the number of Grade III hospitals (the highest tier hospitals in China) increasing from approximately 250 in 2022 to approximately 329 in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had revenue of US$31.5 million, US$37.0 million and US$22.5 million in 2023, 2024 and 2025, respectively. We had net income of US$10.7 million and US$12.6 million and net loss of US$27.5 million in 2023, 2024 and 2025,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 is Room 202, 2/F, Baide Building, Building 11, No. 15, Rongtong Street, Yuexiu District, Guangzhou, People’s Republic of China and its telephone number is +86 20 8218-5926. Our website address is bairdmed.com. The information contained on the website does not form a part of, and is not incorporated by reference into,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diagram depicts a simplified organizational structure of our company as of the date of this prospectus.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676900" cy="28860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5676900" cy="28860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3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 of Being a Company with the Holding Company Structure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Baird Medical is a Cayman Islands holding company with no material operations of its own. We conduct our operations primarily through our wholly-owned PRC subsidiaries in China. As a result, Baird Medical’s ability to pay dividends to the shareholders and to service any debt we may incur may highly depend upon dividends paid by our PRC subsidiaries, despite that we may obtain financing at the holding company level through other methods. For instance, if any of our PRC subsidiaries incurs debt on its own behalf in the future, the instruments governing such debt may restrict its ability to pay dividends to us and the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our PRC subsidiaries are permitted to pay dividends only out of their retained earnings, if any, as determined in accordance with PRC accounting standards and regulations. Furthermore, our PRC subsidiaries are required to make appropriations to certain statutory reserve funds or may make appropriations to certain discretionary funds, which are not distributable as cash dividends except in the event of a solvent liquidation of the companies. Remittance of dividends by our PRC subsidiaries out of China is also subject to certain procedures with the banks designated by the PRC State Administration of Foreign Exchange (“SAFE”). These restrictions are benchmarked against the paid-up capital and the statutory reserve funds of our PRC subsidiaries. In addition, while there are currently no such restrictions on foreign exchange and our ability to transfer cash or assets between Baird Medical and our Hong Kong subsidiary, if certain PRC laws and regulations, including existing laws and regulations and those enacted or promulgated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future were to become applicable to our Hong Kong subsidiary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Baird Medical and our PRC subsidiaries to transfer or distribute cash within the organization, which could result in an inability of or prohibition on making transfers or distributions to entities outside of mainland China and Hong Kong. For details, see “Item 3. Key Information — D.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3. Key Information — D. Risk Factors — Risks Related to Doing Business in China — Governmental control of currency conversion may limit the ability of us to utilize our net revenues effectively and our ability to transfer cash among the group, across borders, and to investors and affect the value of your investment” in our 2025 20-F.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Cash and asset flows through our organization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PRC laws and regulations, we, the Cayman Islands holding company, may fund our PRC subsidiaries only through capital contributions or loans, subject to satisfaction of applicable government registration and approval requirements. In 2023, 2024 and 2025, there was no cash transfer within our organization, and no assets other than cash were transferred within our organization. 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are in the process of adopting our formal cash management policies which will dictate the purpose, amount and procedure of cash transfers among our holding company and subsidiaries. We will determine the payment of dividends and fund transfer based on our specific business needs in accordance with the applicable laws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distribution and taxation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date of this prospectus, none of Baird Medical and our subsidiaries in the BVI, Hong Kong and PRC has paid any dividends or made any distributions to their respective shareholder(s), including U.S. investors if any, nor do we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the “passive foreign investment company” rules, the gross amount of any distribution that we make to a U.S. holder with respect to the Ordinary Shares (including any amounts withheld to reflect PRC withholding taxes) will be taxable as a dividend for United States federal income tax purposes, to the extent paid out of our current or accumulated earnings and profits, as determined under United States federal income tax principles. In addition, if we are considered a PRC tax resident enterprise for tax purposes, any dividends we pay to our overseas shareholders may be regarded as China-sourced income and as a result may be subject to PRC withholding tax.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Holding Foreign Companies Accountable Act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HFCAA was enacted on December 18, 2020. Pursuant to the HFCAA and related regulations, if we have filed an audit report issued by a registered public accounting firm that the PCAOB has determined that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2022. The PCAOB Board vacated its previous 2021 determinations that the PCAOB was unable to inspect or investigate completely registered public accounting firms headquartered in mainland China and Hong Kong.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engaged a series of independent registered public accounting firms. We dismissed Marcum Asia and appointed Kreit &amp; Chiu as our independent registered public accounting firm, effective from January 24, 2025. We subsequently dismissed Kreit &amp; Chiu and appointed Guangdong Prouden as our independent registered public accounting firm. Marcum Asia, our former auditor, is an independent public accounting firm registered with the PCAOB. Marcum Asia is headquartered in the United States and is currently subject to PCAOB inspections on a regular basis and was not identified in the determination report made by the PCAOB in 2021. Kreit &amp; Chiu, another former auditor, is an independent public accounting firm registered with the PCAOB, headquartered in New York, and was not identified in the determination report made by the PCAOB on December 16, 2021. Our current auditor, Guangdong Prouden, is an independent registered public accounting firm registered with the PCAOB and is subject to PCAOB inspections on a regular basis. Guangdong Prouden was not identified in the PCAOB’s 2021 determination report as a firm subject to the PCAOB’s determination.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whether the PCAOB will re-evaluate its determination as a result of any obstruction with the implementation of the Statement of Protocol in the future is subject to uncertainties and depends on a number of factors out of our and our auditor’s control. The PCAOB continues to demand complete access in mainland China and Hong Kong moving forward and to pursue ongoing investigations and initiate new investigations as needed. The PCAOB has also indicated that it will act immediately to consider the need to issue new determinations with the HFCAA if needed. If the PCAOB is unable to inspect and investigate completely registered public accounting firms located in China and we fail to retain another registered public accounting firm that the PCAOB is able to inspect and investigate completely in 2024 and beyond, or if we otherwise fail to meet the PCAOB’s requirements, the Ordinary Shares will be delisted from the Nasdaq Stock Market, and Ordinary Shares will not be permitted for trading over the counter in the United States under the HFCAA and related regulations. The related risks and uncertainties could cause the value of the Ordinary Shares to significantly decline or become worthless.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Regulatory Matters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CSRC Filing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17, 2023, the CSRC promulgated the Overseas Listing Trial Measures and circulated five supporting guidelines, which became effective on March 31, 2023. The Overseas Listing Trial Measures have comprehensively reformed the prior regulatory regime for overseas offering and listing of PRC domestic companies’ securities and regulate both direct and indirect overseas offering and listing of PRC domestic companies’ securities by adopting a filing-based regulatory regime.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According to the Overseas Listing Trial Measures, PRC domestic companies that seek to offer and list securities in overseas markets, either in direct or indirect means, are required to fulfill the filing procedure with the CSRC and report relevant information. The Overseas Listing Trial Measures provides that an overseas listing or offering is explicitly prohibited, if any of the following: (1) such securities offering and listing is explicitly prohibited by provisions in laws, administrative regulations and relevant state rules; (2) the intended securities offering and listing may endanger national security as reviewed and determined by competent authorities under the State Council in accordance with law; (3) the domestic company intending to make the securities offering and listing, or its controlling shareholder(s) and the actual controller, have committed relevant crimes such as corruption, bribery, embezzlement, misappropriation of property or undermining the order of the socialist market economy during the latest three years; (4) the domestic company intending to make the securities offering and listing is currently under investigations for suspicion of criminal offenses or major violations of laws and regulations, and no conclusion has yet been made thereof; or (5) there are material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ownership disputes over equity held by the domestic company’s controlling shareholder(s) or by other shareholder(s) that are controlled by the controlling shareholder(s) and/or actual controller.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Overseas Listing Trial Measures also provides that if the issuer meets both the following criteria, the overseas securities offering and listing conducted by such issuer will be deemed as indirect overseas offering by PRC domestic companies: (1) 50% or more of any of the issuer’s operating revenue, total profit, total assets or net assets as documented in its audited consolidated financial statements for the most recent fiscal year is accounted for by domestic companies; and (2)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an issuer submits an application for initial public offering to competent overseas regulators, such issuer must file with the CSRC within three business days after such application is submitted. In addition, the Overseas Listing Trial Measures provides that the direct or indirect overseas listings of the assets of domestic companies through one or more acquisitions, share swaps, transfers or other transaction arrangements shall be subject to filing procedures in accordance with the Overseas Listing Trial Measures, which filing shall be submitted within three business days after the issuer submits its application documents relating to the initial public offering and/or listing or after the first public announcement of the relevant transaction (if the submission of relevant application documents is not required). The Overseas Listing Trial Measures also requires subsequent reports to be filed with the CSRC on material events, such as change of control or voluntary or forced delisting of the issuer(s) who have completed overseas offerings and listings.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Guidance for Application of Regulatory Rules — Overseas Offering and Listing No. 1, promulgated by CSRC together with the Overseas Listing Trial Measures, provides that if a domestic enterprise completes an overseas offering through an overseas special purposes acquisition company, it shall submit the filing materials within three business days after such overseas special purposes acquisition company publicly announces such acquisition transaction. We completed the filing procedures in connection with the Business Combination under the Overseas Listing Trial Measures on January 2, 2024, and the result of such CSRC approval was posted on the official website of the CSRC on the same date. Pursuant to the Overseas Listing Trial Measures, we may need to complete filing procedures for future offshore fund-raising activities, including conducting follow-on offering in the United States. Any failure or perceived failure by us to comply with such filing requirements under the Overseas Listing Trial Measures may result in forced rectification, warnings and fines against us and could materially hinder our ability to raise fund overseas. See “Item 3. Key Information — D. Risk Factors — Risks Related to Doing Business in China — The filing with the CSRC may be required in connection with future overseas fund-raising activities, and we cannot predict whether we will be able to obtain such approval or complete such filing” in our 2025 20-F.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February 24, 2023, the CSRC, the Ministry of Finance, the National Administration of State Secrets Protection and the National Archives Administration released the revised Provisions on Strengthening Confidentiality and Archives Administration of Overseas Securities Offering and Listing by Domestic Companies (the “Archives Rules”), which became effective on March 31, 2023. The Archives Rules regulate both overseas direct offerings and overseas indirect offerings, providing that, among other things: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relation to the overseas listing activities of PRC enterprises, the PRC enterprises are required to strictly comply with the relevant requirements on confidentiality and archives management, establish a sound confidentiality and archives system, and take necessary measures to implement their confidentiality and archives management responsibilities;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course of an overseas offering and listing, if a PRC enterprise needs to publicly disclose or provide to securities companies or securities service providers and overseas regulators, any materials that contain relevant state secrets, government work secrets or information that has a sensitive impact (i.e., be detrimental to national security or the public interest if divulged), the PRC enterprise should complete the relevant approval/filing and other regulatory procedures; and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working papers produced in the PRC by securities companies and securities service providers, which provide PRC enterprises with securities services during their overseas issuance and listing, should be stored in the PRC, and competent PRC authorities must approve the transmission of all such working papers to recipients outside the PRC.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failure or perceived failure by us to comply with the Archives Rules and the confidentiality requirements and other PRC laws and regulations may result in us being held legally liable by competent authorities.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Regulatory Licenses for Our Operations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obtained (1) five registration certificates for microwave ablation therapeutic apparatus; (2) a number of registration certificates for microwave ablation needles; and (3) one registration certificate for disposable sterile biopsy needle. On May 25, 2021, we obtained the Manufacture License for Class II and Class III Medical Devices for its existing microwave ablation products in China, which is valid until May 24, 2026. We do not believe that the 2022 Supervisory and Administrative Measures for Production will have a material impact on our business operations because (1) the updates and revisions to the 2022 Supervisory and Administrative Measures for Production do not affect the validity of the production license obtained by us on May 25, 2021, which remains applicable and is sufficient for us to satisfy relevant requirements under the 2022 Supervisory and Administrative Measures for Production, (2) during the process of obtaining the registration certificate for Class III thyroid medical devices, we passed an audit, performed by the National Medical Products Administration and in accordance with the 2022 Supervisory and Administrative Measures for Production, for the period from February 9, 2023, to February 10, 2023, and (3) after obtaining the registration certificate for its single-use sterile biopsy needle product, we applied to add “Class II: 14-01 Injection and Puncture Instruments” to the production scope of the medical device production license, and obtained the updated medical device production license on October 16, 2023 in accordance with the 2022 Supervisory and Administrative Measures for Production. As of the date of this prospectus, we are subject to and in compliance with the 2022 Supervisory and Administrative Measures for Production.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“Item 3. Key Information — D. Risk Factors — Risks Related to Doing Business in China” in our 2025 20-F for details.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Business and Industry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Risks and uncertainties relating to our business and industry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limited operating history may not be indicative of its future growth and makes it difficult to predict our future prospects, including business and financial performance.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historical operating results may not be representative of future performance.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be unable to obtain, maintain or renew the regulatory filings and registration certificates needed to commercialize its microwave medical devices in a timely manner, or at all.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be able to maintain or renew all the permits, licenses and certificates required for our business and operations.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fail to maintain or renew its relationship with existing distributors and customers, or maintain our sales network.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sales may be affected by the level of medical insurance reimbursement available to patients using our products.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Doing Business in China</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various legal and operational risks and uncertainties related to being based in and having significant operations in China, and therefore are subject to risks associated with doing business in China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Risks and uncertainties related to doing business in China could result in a material adverse change in our operations, significantly limit or completely hinder our ability to offer our securities to investors, and cause the value of our securities to significantly decline or become worthless. Such risks and uncertainties include, but not limited to, the following: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Chinese government has significant authority to intervene or influence our operations at any time, and to exert more control over offerings conducted overseas and/or foreign investment in China-based issuers.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 Recent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The filing with the CSRC may be required in connection with future overseas fund-raising activities, and we cannot predict whether we will be able to obtain such approval or complete such filing” in our 2025 20-F.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securities may be delisted under the HFCAA if the PCAOB is unable to inspect auditors who are located in mainland China and Hong Kong. For details, see “Item 3. Key Information — D. Risk Factors — Risks Related to Doing Business in China — Trading in our securities on any U.S. stock exchange or the U.S. over-the-counter market may be prohibited under the HFCAA if the PCAOB is unable to inspect or investigate completely auditors located in China for two consecutive years. The delisting of our securities, or the threat of being delisted, may materially and adversely affect the value of your investment” in our 2025 20-F.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impact from PRC economic, political and social conditions, as well as changes in any government policies, laws and regulations. For details, see “Item 3. Key Information — D. Risk Factors — Risks Related to Doing Business in China — 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and “— Adverse changes in economic and political policies of the PRC government could negatively impact China’s overall economic growth, which could materially adversely affect our business” in our 2025 20-F.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subject to uncertainties with respect to the PRC legal system, including such relating to the enforcement of rules and regulations in China and the risk that rules and regulations can change quickly with little advance notice. For details, see “Item 3. Key Information — D. Risk Factors — Risks Related to Doing Business in China — Uncertainties in the interpretation and enforcement of PRC laws, rules and regulations could materially adversely affect our business” in our 2025 20-F.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Risks Related to Our Securities and this Offering</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price of our securities may be volatile, and the value of our securities may decline.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to purchase Ordinary Shares will increase the number of shares eligible for future resale in the public market and result in dilution to our shareholders.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be a foreign private issuer, and as a result, will not be subject to U.S. proxy rules and will be subject to Exchange Act reporting obligations that, to some extent, are more lenient and less frequent than those of a U.S. domestic public company.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76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shareholders than they would enjoy if we complied fully with the Nasdaq Stock Market corporate governance listing standards.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Emerging Growth Company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Ordinary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Foreign Private 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foreign private issuer within the meaning of the rules under the Exchange Act and, as such, we are permitted to follow the corporate governance practices of its home country, the Cayman Islands, in lieu of the corporate governance standards of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follow its home country’s corporate governance practices as long as it remains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short-swing profit rules.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ODB"/>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3">
        <w:r>
          <w:rPr>
            <w:rStyle w:val="InternetLink"/>
          </w:rPr>
          <w:t>annual report on Form 20-F for the year ended December 31, 2025 filed with the SEC on April 24, 2026</w:t>
        </w:r>
      </w:hyperlink>
      <w:r>
        <w:rPr>
          <w:rFonts w:ascii="Times New Roman;Times;serif" w:hAnsi="Times New Roman;Times;serif"/>
          <w:b w:val="false"/>
          <w:i w:val="false"/>
          <w:caps w:val="false"/>
          <w:smallCaps w:val="false"/>
          <w:color w:val="000000"/>
          <w:spacing w:val="4"/>
          <w:sz w:val="20"/>
        </w:rPr>
        <w:t xml:space="preserve">, as amended by </w:t>
      </w:r>
      <w:hyperlink r:id="rId4">
        <w:r>
          <w:rPr>
            <w:rStyle w:val="InternetLink"/>
          </w:rPr>
          <w:t>Amendment No. 1 on Form 20-F/A filed with the SEC on July 27,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for the year ended December 31, 2025 filed with the SEC on April 24, 2026, as amended by Amendment No.1 on Form 20-F/A filed with the SEC on July 27, 2026, contains a description of our business and audited consolidated financial statements with reports by independent auditor. The consolidated financial statements are prepared and presented in accordance with the U.S.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Room 202, 2/F, Baide Building, Building 11, No. 15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Rongtong Street, Yuexiu District, Guangzhou, Peoples Republic of China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(86) 20 8218-5926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that have been or may be instituted against us;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maintain the listing of the Ordinary Shares on Nasdaq;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markets are rapidly evolving and may decline or experience limited growth;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and expand our customer base;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effectively in the markets in which we operate;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maintain and enhance our brand;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rapidly changing and increasingly stringent laws, contractual obligations and industry standards relating to our operations; and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matters described in the section titled “Risk Factors.”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and industry data used throughout this prospectus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in the section entitled “Risk Factors” and elsewhere in this prospectus may adversely affect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the securities involves risk. Before investing in any of the securities that may be offered or sold pursuant to this prospectus, you should carefully consider the risk factors and uncertainties described in this section related to this offering, and those under the heading “Item 3. Key Information — D. Risk Factors” in our 2025 20-F,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Securities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our securities may be volatile, and the value of our securities may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the prices at which our securities will trade. The price of our securities may not bear any relationship to the market price at which our securities traded immediately after the Business Combination or to any other established criteria of the value of our business and prospects, and the market price of our securities may fluctuate substantially and may be lower than the price agreed by ExcelFin and us in connection with the Business Combination. In addition, the trading price of our securities has been and is likely to continue to be volatile, and could fluctuate widely in response to various factors, some of which are beyond its control. The volatility of and fluctuations in the trading price of our Ordinary Shares could cause you to lose all or part of your investment. Factors that could cause fluctuations in the trading price of our securities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financial condition or results of operations;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variance in our financial performance from expectations of securities analysts;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projected operating and financial results;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or regulations applicable to our business;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our or our competitors of significant business developments, acquisitions or new offerings;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securities by our shareholders or warrant holders, including the sales of the Registered Securities as described in this prospectus, as well as the anticipation of lockup releases;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breaches of, disruptions to or other incidents involving our information technology systems or those of our business partners;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involvement in material litigation;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or developments affecting the medical technology industry in China;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senior management or key personnel;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our securities;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and market conditions; and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events or factors, including those resulting from war, incidents of terrorism, global pandemics or responses to these events.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to purchase the Ordinary Shares will increase the number of shares eligible for future resale in the public market and result in dilution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Business Combination, outstanding ExcelFin Warrants were assumed by us and converted into corresponding warrants to purchase an aggregate of 11,500,000 Ordinary Shares. The Assumed Public Warrants will expire five years after the completion of the Business Combination. Each Assumed Public Warrant entitles the holder thereof to purchase one Ordinary Share at a price of US$11.50 per whole share, subject to adjustment. The Assumed Public Warrants may be exercised only for a whole number of the Ordinary Shares. To the extent such warrants are exercised, additional Ordinary Shares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which will result in dilution to the then-existing holders of the Ordinary Shares and increase the number of shares eligible for resale in the public market. Sales of substantial numbers of such shares in the public market could adversely affect the market price of the Ordinary Shares.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as such are not subject to U.S. proxy rules and will be subject to Exchange Act reporting obligations that, to some extent, are more lenient and less frequent than those of a U.S. domestic public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imposing liability on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securities are listed on the Nasdaq Stock Market. The Nasdaq Stock Market corporate governance listing standards permit a foreign private issuer such as us to follow the corporate governance practices of its home country. Certain corporate governance practices in the Cayman Islands, which is our home country, may differ significantly from the Nasdaq Stock Market corporate governance listing standards.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instance, we are not required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majority of the board be independent; </w:t>
      </w:r>
      <w:r>
        <mc:AlternateContent>
          <mc:Choice Requires="wps">
            <w:drawing>
              <wp:anchor behindDoc="0" distT="7874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compensation committee or a nominations and corporate governance committee consisting entirely of independent directors; or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regularly scheduled executive sessions with only independent directors each year.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have a majority of the board be independent or hold annual meeting of shareholders. We may also continue to rely on this and other exemptions available to foreign private issuers in the future, and to the extent that we choose to do so, our shareholders may be afforded less protection than they otherwise would have under the Nasdaq Stock Market Rules applicable to U.S. domestic issuers.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face difficulties in protecting your interests, and your ability to protect your rights through U.S. courts may be limited, because we are incorporated under the law of the Cayman Islands, and will conduct substantially all of our operations in China, and a majority of our directors and executive officers will reside outside of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limited by shares incorporated under the laws of the Cayman Islands. We conduct a majority of our operations through our PRC subsidiaries. Substantially all of our assets are located outside of the United States. A majority of our officers and directors reside outside the United States and a substantial portion of the assets of those persons are located outside of the United States. As a result, it could be difficult or impossible for you to bring an action against the us or against these individuals outside of the United States in the event that you believe that your rights have been infringed upon under the applicable securities laws or otherwise. Even if you are successful in bringing an action of this kind, the laws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and of the PRC could render you unable to enforce a judgment against the relevant assets or the assets of the relevant directors and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corporate affairs are governed by our Amended and Restated Memorandum and Articles of Association, the Companies Act (As Revised) of the Cayman Islands and the common law of the Cayman Islands. The rights of investors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may not be as clearly established as they would be under statutes or judicial precedent in some jurisdictions in the United States. In particular, the Cayman Islands has a different body of securities laws than the United States. Some U.S. states, such as Delaware, may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Cayman Islands exempted companies like us have no general rights under Cayman Islands law to inspect corporate records or to obtain copies of lists of shareholders of these companies (save for the memorandum and articles of association, the register of mortgages and charges, and special resolutions of our shareholders). Our directors have discretion under the Amended and Restated Memorandum and Articles of Association to determine whether or not, and under what conditions, our corporate records may be inspected by our shareholders, but we are not obliged to make them available to the shareholders. This may make it more difficult for you to obtain the information needed to establish any facts necessary for a shareholder’s motion or to solicit proxies from other shareholders in connection with a proxy contest.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See “— 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the Nasdaq Stock Market corporate governance listing standards.”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all of the above, our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Amended and Restated Memorandum and Articles of Association contain certain provisions, including anti- takeover provisions that limit the ability of shareholders to take certain actions and could delay or discourage takeover attempts that shareholders may consider favorable.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Memorandum and Articles of Association contain provisions that could have the effect of rendering more difficult, delaying, or preventing an acquisition that shareholders may consider favorable, including transactions in which shareholders might otherwise receive a premium for their shares. These provisions could also limit the price that investors might be willing to pay in the future for the Ordinary Shares, and therefore depress the trading price of the Ordinary Shares. These provisions could also make it difficult for shareholders to take certain actions, including electing directors who are not nominated by us or taking other corporate actions, including effecting changes in our management. These provisions, alone or together, could delay or prevent hostile takeovers and changes in control or changes in our board of directors or management.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market for our securities may not develop or be sustained, which would adversely affect the liquidity and price of our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securities has fluctuated and may continue to fluctuate significantly due to the market’s reaction to our financial performance, results of operations and general market and economic conditions.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substantial amount of our Ordinary Shares are subject to transfer restrictions following the Business Combination. An active trading market for our securities may not be sustained. In addition, the price of our securities may vary due to general economic conditions and forecasts, our general business condition and the release of its financial reports. Additionally, if our securities are delisted from the Nasdaq Stock Market and are quoted on over-the-counter market, the liquidity and price of our securities may be more limited than if our securities were quoted or listed on the Nasdaq Stock Market or another national securities exchange. You may be unable to sell your securities unless a market can be established or sustained.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or cease publishing research or reports about us, our business, our market or competitors, or if they change their recommendations regarding our securities adversely, the price and trading volume of our securities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securities will be influenced by the research and reports that industry or securities analysts may publish about us, our business, our market or competitors. If any of the analysts who may cover us change their recommendation regarding our securities adversely, or provide more favorable relative recommendations about our competitors, the price of our securities would likely decline. If any analyst who may cover us were to cease their coverage or fail to regularly publish reports on us, we could lose visibility in the financial markets, which could cause the price or trading volume of our securities to decline.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disclosure requirements to be adopted by and regulatory scrutiny from the SEC in response to risks related to companies with substantial operations in China could increase our compliance costs, subject it to additional disclosure requirements, and/or suspend or terminate our future securities offerings, resulting in difficulties in our capital-raising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2021, in response to the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we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resulting in difficulties in our capital-raising efforts.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additional share capital in connection with financings, acquisitions, investments, our equity incentive plans or otherwise will dilute all other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issue additional share capital in the future that will result in dilution to all other shareholders. We also expect to grant equity awards to key employees under the 2024 Equity Incentive Plan. We may also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Ordinary Shares to decline.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intend to pay dividends before we become profitable, and as a result, your ability to achieve a return on your investment in the foreseeable future will depend on appreciation in the price of the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intend to pay any cash dividends before we become profitable, which may not occur in the foreseeable future. Any determination to pay dividends in the future will be at the discretion of our board of directors. Accordingly, you may need to rely on sales of the Ordinary Shares after price appreciation, which may never occur, as the only way to realize any future gains on your investment.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the reduced reporting and disclosure requirements applicable to emerging growth companies may make our securities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statements, and the requirements of holding a nonbinding advisory vote on executive compensation and shareholder approval of any golden parachute payments not previously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our common equity that is held by non-affiliates exceeds US$700 million as of the last business day of its most recently completed second fiscal quarter; and (2) the date on which we have issued more than US$1.00 billion in non-convertible debt securities during the prior three-year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find our securities less attractive, and there may be a less active trading market for our securities, and the price of such securities may be more volatile.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will incur increased costs as a result of operating as a public company, and our management will be required to devote substantial time to comply with a public company’s responsibilities and corporate governance practices.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 company, we will incur significant legal, accounting and other expenses,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shareholders of some public companies brought securities class action suits against these companies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characterized as a passive foreign investment company (“PFIC”) for U.S. federal income tax purposes, U.S. holders may experience adverse U.S. federal income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For purposes of making these determinations, a company is generally treated as directly earning a pro rata share of the income (and directly owning a pro rata share of the assets) of any entity in which it is considered to own at least 25% of the shares by value. The determination of whether we will be treated as a PFIC for the current taxable year will depend on a number of factors, including the amount of cash held by ExcelFin and Betters Medical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Holdings Limited (“Betters Medical”) and its subsidiaries, among others. Accordingly, there can be no assurances in this regard or any assurances that we will not be treated as a PFIC in the current taxable year or any future taxable year. Moreover, the application of the PFIC rules is subject to uncertainty in several respects, and there can be no assurance that the Internal Revenue Service (the “IRS”) will not take a contrary position or that a court will not sustain such a challenge by the IRS.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or any of our subsidiaries are a PFIC for any taxable year is a factual determination that depends on, among other things, the composition of its income and assets, and the market value of its securities. Changes in our composition, the composition of our income or the composition of its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a PFIC for any taxable year, a U.S. holder of our securities may be subject to adverse tax consequences and may incur certain information reporting obligations.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IRS may not agree that we (i) should be treated as a non-U.S. corporation for U.S. federal income tax purposes and (ii) should not be treated as a “surrogate foreign corporation” for U.S. federal income tax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U.S. federal income tax purposes, a corporation generally is considered to be a tax resident in the jurisdiction of its organization or incorporation. Accordingly, under generally applicable U.S. federal income tax rules, we would be classified as a non-U.S. corporation (and, therefore, we would not be a U.S. tax resident) for U.S. federal income tax purposes because we are incorporated under the laws of the Cayman Islands. Section 7874 of the Code provides an exception to this general rule under which a non-U.S. incorporated entity may, in certain circumstances, be treated as a U.S. corporation for U.S. federal income tax purposes. If we were to be treated as a U.S. corporation for U.S. federal income tax purposes, we could be subject to substantial liability for additional U.S. income taxes, and the gross amount of any dividend payments to our non-U.S. holders could be subject to U.S. withholding tax. In addition, even if we are not treated as a U.S. corporation, we may be subject to unfavorable treatment as a “surrogate foreign corporation” in the event that ownership attributable to former ExcelFin stockholders exceeds a threshold amount. If it were determined that we are treated as a surrogate foreign corporation for U.S. federal income tax purposes under Section 7874 of the Code and the Treasury regulations promulgated thereunder, dividends by us would not qualify for “qualified dividend income” treatment, redemptions made by us of our stock would be subject to an excise tax of 1% of the fair market value of such stock under Section 4501 of the Code, and our U.S. affiliates after the completion of the First Merger could be subject to increased taxation under the inversion gain rules and Section 59A of the Code.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expect to be treated as a U.S. corporation for U.S. federal income tax purposes or otherwise be subject to unfavorable treatment as a surrogate foreign corporation for U.S. federal income tax purposes. However, the rules for determining ownership under Section 7874 of the Code are complex and unclear. Accordingly, there can be no assurance that the IRS will not take the position that Section 7874 of the Code applied to the First Merger or that a court will not agree with such a position of the IRS in the event of litigation.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U.S. holder is treated as owning at least 10% of our ordinary shares, such U.S. holder may be subject to adverse United States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includes United States subsidiaries, certain of our non-United States subsidiaries will likely be treated as controlled foreign corporations. We cannot provide any assurances that we will assist our investors in determining whether any of our non-United States subsidiaries are treated as a controlled foreign corporation or whether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the securities we offer as set forth in the applicable prospectus supplement(s).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O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Baird Medical is a Cayman Islands exempted company and our affairs are governed by our memorandum and articles of association, as amended and restated from time to time, and the Companies Act (As Revised) of the Cayman Islands, which is referred to as the Companies Act (As Revised) below, and the common law of Cayman Islands. The following are summaries of certain material provisions of our Amended and Restated Memorandum and Articles of Association (the Amended and Restated Articles of Association is hereinafter defined as the “Articles”), attached as an exhibit to prospectus. You are encouraged to read the relevant provisions of the Companies Act (As Revised) and the Articles as they relate to the following summary.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offer and sell from time to time, in one or more offerings, the following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preferred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debt securities;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warrants;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sections contain a description of the terms and provisions of our Ordinary Shares, preferred shares, debt securities, warrants and units, which we may offer and sell using this prospectus. These summaries are not meant to be a complete description of each security. We will set forth in the applicable prospectus supplement a description of the preferred shares, debt securities, warrants, and units, in certain cases, the Ordinary Shares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S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share capital is US$50,500 divided into 505,000,000 shares of a nominal or par value of US$0.0001 each, consisting of two share classes as follows: (i) 500,000,000 ordinary shares of a nominal or par value of US$0.0001 each (the “Ordinary Shares”) and (ii) 5,000,000 series A convertible preferred shares of a nominal or par value of US$0.0001 each (the “Series A Preferred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we had 42,208,763 Ordinary Shares and 290,000 Series A Preferred Shares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issued Ordinary Shares are fully paid and non-assessable. The Ordinary Shares are issued in registered form, and are issued when registered in our register of members. Our shareholders who are non-residents of the Cayman Islands may freely hold and vote their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Ordinary Shares are entitled to such dividends as may be declared by our board of directors. Under Cayman Islands law, dividends may be declared and paid out of funds legally available therefor, namely out of profit or share premium, provided that in no circumstances may we pay a dividend out of share premium if this would result in us being unable to pay our debts as they fall due in the ordinary course of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Register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we must keep a register of members and there will be entered therein: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members with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(iv) confirm whether each relevant category of shares held by a member carries voting rights under the Articles, and if so, whether such voting rights are conditional;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name of any person was entered on the register as a member; and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any person ceased to be a member.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Cayman Islands law, our register of members is prima facie evidence of any matters by the Companies Act (As Revised) directed or authorized to be inserted therein.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Ordinary Share shall be entitled to one vote per Ordinary Share. Each holder of Series A Preferred Shares shall be entitled to no voting right.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any meeting of our shareholders is by show of hands unless a poll is demanded. A poll may be demanded by: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such meeting;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 least three shareholders present in person or by proxy or (in the case of a shareholder being a corporation) by its duly authorized representative for the time being entitled to vote at the meeting;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representing not less than one-tenth of the total voting rights of all shareholders having the right to vote at the meeting; and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shareholder(s) present in person or by proxy or (in the case of a shareholder being a corporation) by its duly authorized representative and holding our shares conferring a right to vote at the meeting being shares on which an aggregate sum has been paid up equal to not less than one-tenth of the total sum paid up on all shares conferring that right.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ordinary resolution to be passed at a meeting by our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the Articles, a reduction of share capital and the winding up of Baird Medical, our shareholders may, among other things, divide or combine their shares by ordinary resolution.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Meetings of Shareholders</w:t>
      </w:r>
      <w:r>
        <w:rPr>
          <w:rFonts w:ascii="Times New Roman;Times;serif" w:hAnsi="Times New Roman;Times;serif"/>
          <w:b w:val="false"/>
          <w:i w:val="false"/>
          <w:caps w:val="false"/>
          <w:smallCaps w:val="false"/>
          <w:color w:val="000000"/>
          <w:spacing w:val="4"/>
          <w:sz w:val="20"/>
        </w:rPr>
        <w:t xml:space="preserve">.   As a Cayman Islands exempted company, we are not obliged by the Companies Act (As Revised) to call shareholders’ annual general meetings. The Articles provide that we shall, if required by the Companies Act (As Revised), in each year hold a general meeting as our annual general meeting, and shall specify the meeting as such in the notices calling it. An annual general meeting shall be held at such time and place as may be determined by our directors in accordance with the rules of Nasdaq, unless Nasdaq does not require the holding of an annual general meeting. General meetings, including annual general meetings, may be held at such times and in any location in the world as may be determined by our board of directors. A general meeting or any class meeting may also be held by means of such telephone, electronic or other communication facilities as to permit all persons participating in the meeting to communicate with each other, and participation in such a meeting constitutes presence at such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general meetings may be convened by the chairperson of the board of directors or by a majority of our board of directors. Advance notice of not more than sixty nor less than ten clear days is required for the convening of an annual general shareholders’ meeting (if any) and any other general meeting of shareholders. A quorum required for any general meeting of shareholders consists of two shareholders entitled to vote and present in person or by proxy or (in the case of a shareholder being a corporation) by its duly authorized representative representing not less than one-third in nominal value of our total issued voting shares throughout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does not provide shareholders with any right to requisition a general meeting or to put any proposal before a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our shareholders may transfer all or any of his or her Ordinary Shares by an instrument of transfer in the usual or common form or in a form prescribed by Nasdaq, the SEC and/or any competent regulatory authority or any other form approved by our board of directors. Notwithstanding the foregoing, Ordinary Shares may also be transferred in accordance with the applicable rules and regulations of Nasdaq, the SEC and/or any competent regulatory authority.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decline to register any transfer of any Ordinary Share unless: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lodged with us, accompanied by the certificate (if any) for the Ordinary Shares to which it relates and such other evidence as our board of directors may reasonably require to show the right of the transferor to make the transfer; </w:t>
      </w:r>
      <w:r>
        <mc:AlternateContent>
          <mc:Choice Requires="wps">
            <w:drawing>
              <wp:anchor behindDoc="0" distT="7112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in respect of only one class of shares; </w:t>
      </w:r>
      <w:r>
        <mc:AlternateContent>
          <mc:Choice Requires="wps">
            <w:drawing>
              <wp:anchor behindDoc="0" distT="7112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of transfer is properly stamped, if required; </w:t>
      </w:r>
      <w:r>
        <mc:AlternateContent>
          <mc:Choice Requires="wps">
            <w:drawing>
              <wp:anchor behindDoc="0" distT="7112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transfer to joint holders, the number of joint holders to whom the Ordinary Shares is to be transferred does not exceed four; and </w:t>
      </w:r>
      <w:r>
        <mc:AlternateContent>
          <mc:Choice Requires="wps">
            <w:drawing>
              <wp:anchor behindDoc="0" distT="6985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fee of such maximum sum as the Nasdaq may determine to be payable or such lesser sum as our directors may from time to time require is paid to us in respect thereof. </w:t>
      </w:r>
      <w:r>
        <mc:AlternateContent>
          <mc:Choice Requires="wps">
            <w:drawing>
              <wp:anchor behindDoc="0" distT="6985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shares in question were issued in conjunction with rights, options and warrants issued pursuant to the Articles on terms that one cannot be transferred without the other, our board of directors shall refuse to register the transfer of any such shares without evidence satisfactory to them of the like transfer of such right, option or warrant.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directors refuse to register a transfer they shall, within two months after the date on which the instrument of transfer was lodged, send to each of the transferor and the transferee notice of such refusal.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transfers may, after compliance with any notice required in accordance with the rules of Nasdaq, the SEC and/or any other competent regulatory authority be suspended and the register of members closed for transfer at such times and for such periods as our board of directors may from time to time determine; provided, however, that the registration of transfers shall not be suspended nor the register closed for transfer for more than 40 days in any year as the board may determine. The period of forty (40) days may be extended for a further period or periods not exceeding forty (40) days in respect of any year if approved by the shareholders by ordinary resolution.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winding up of Baird Medical,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Calls on Ordinary Shares and Forfeiture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from time to time make calls upon shareholders for any amounts unpaid on their Ordinary Shares in a notice served to such shareholders at least 14 days prior to the specified time of payment. The shares that have been called upon and remain unpaid are subject to forfeiture.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Repurchase and Surrender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shares on terms that such shares are subject to redemption, at our option or at the option of the holders, on such terms and in such manner as may be determined, before the issue of such shares, by our board of directors. We may also repurchase any of our shares provided that the manner and terms of such purchase have been agreed between the board of directors and the relevant shareholder or are otherwise authorized by the Articles. Under the Companies Act (As Revised), the redemption or repurchase of any share may be paid out of our profits, share premium or out of the proceeds of a fresh issue of shares made for the purpose of such redemption or repurchase, or out of capital if we can, immediately following such payment, pay our debts as they fall due in the ordinary course of business. In addition, under the Companies Act (As Revised) no such share may be redeemed or repurchased (a) unless it is fully paid up, (b) if such redemption or repurchase would result in there being no shares outstanding, or (c) if the company has commenced liquidation. In addition, we may accept the surrender of any fully paid share for no consideration.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Variations of Rights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Whenever our capital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necessary quorum (whether at a separate general meeting or at its adjourned meeting) shall be a person or persons or (in the case of a shareholder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shareholders who are present shall form a quorum (whatever the number of shares held by them)).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such existing class of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we may from time to time by ordinary resolution: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share capital by such sum, to be divided into shares of such classes and amount, as the resolution shall prescribe;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our share capital into shares of a larger amount than our existing shares;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in general meeting, as the directors may determine;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sub-divide our existing shares, or any of them into shares of a smaller amount that is fixed by our memorandum of association; and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and diminish the amount of our share capital by the amount of the shares so cancelled.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(As Revised) and confirmation by the Grand Court of the Cayman Islands on an application by us for an order confirming such reduction, we may by special resolution reduce our share capital, any capital redemption reserve or other undistributable reserves in any manner authorized by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Additional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as set out in the Articles, the Articles authorize our board of directors to issue additional ordinary shares from time to time as our board of directors shall determine, to the extent of available authorized but unissued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Appointment and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our board of directors shall initially consist of up to seven directors, who shall be appointed to the board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one of which (the “Sponsor Director”) shall be appointed by ExcelFin SPAC LLC (the “Sponsor”) by written notice to our company (without further resolutions of the board or the shareholders), provided, that the right of Sponsor to appoint the Sponsor Director shall terminate on the date Sponsor ceases to beneficially own at least 25% of the shares held by Sponsor as of the closing date of the Business Combination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four of which (collectively, the “Betters Directors”) shall be appointed by Betters Medical (or its affiliates) by written notice to our company (without further resolutions of the board or the shareholders), provided, that the number of Betters Directors that Betters Medical shall be entitled to appoint shall increase or decrease, as applicable, in proportion to the number of shares beneficially owned by Betters Medical (or its affiliates) divided by the total number of shares issued and outstanding, rounded down to the nearest whole number of directors;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two of which shall be nominated and elected in accordance with the terms of the Articles.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above, we may by ordinary resolution of shareholders elect any person to be a director either to fill a casual vacancy or as an addition to the existing board; and our directors shall have the power from time to time and at any time to appoint any person as a director to fill a casual vacancy on the board or as an addition to the existing board subject to compliance with director nomination procedures required under the rules and regulations of Nasdaq, the SEC and/or any other competent regulatory authority as long as shares are listed on Nasdaq, unless the board resolves to follow any available exceptions or exemptions.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 (other than the Sponsor Director and any of the Betters Directors) may be removed by way of an ordinary resolution of shareholders at any time before the expiration of his period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us;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the number of directors to be appointed to the board may only be increased or decreased upon the mutual written agreement of Betters Medical and the Sponsor; provided, that no reduction in the authorized number of directors shall have the effect of removing any director before that director’s term of office expires.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Inspection of Books and Records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have no general right under Cayman Islands law to inspect or obtain copies of a list of our shareholders or our corporate records. However, the Articles provide our shareholders with the right to inspect our register of shareholders without charge and to receive our annual audited financial statements. See “Where You Can Find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the Articles may discourage, delay or prevent a change of control in our company or management that shareholders may consider favorable, including provisions that: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provide for the Sponsor’s and Betters Medical’s right to appoint and/or remove the Sponsor Director and the Betters Directors (as the case may be) without further approval from the shareholders; and </w:t>
      </w:r>
      <w:r>
        <mc:AlternateContent>
          <mc:Choice Requires="wps">
            <w:drawing>
              <wp:anchor behindDoc="0" distT="10160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the ability of shareholders to requisition and convene general meetings of shareholder. </w:t>
      </w:r>
      <w:r>
        <mc:AlternateContent>
          <mc:Choice Requires="wps">
            <w:drawing>
              <wp:anchor behindDoc="0" distT="10160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and Cayman Islands law also require a special resolution to amend the Articles. Such requirement may prevent our shareholders from effecting a change of our management and/or removing provisions in our constitutional documents that may have an anti-takeover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Transfer Agent and Warrant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Ordinary Shares and warrant agent for our warrants is American Stock Transfer &amp; Trust Company, LLC. We have agreed to indemnify American Stock Transfer &amp; Trust Company, LLC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Differences in Corporate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(As Revised) is derived, to a large extent, from the older Companies Acts of England but does not follow recent English statutory enactments and, accordingly, there are significant differences between the Companies Act (As Revised) and the current Companies Act of England. In addition, the Companies Act (As Revised) differs from laws applicable to U.S. corporations and their shareholders. Set forth below is a summary of certain significant differences between the provisions of the Companies Act (As Revised) applicable to us and the laws applicable to companies incorporated in the United States and their shareholders. </w:t>
      </w:r>
    </w:p>
    <w:tbl>
      <w:tblPr>
        <w:tblW w:w="8812" w:type="dxa"/>
        <w:jc w:val="left"/>
        <w:tblInd w:w="1393" w:type="dxa"/>
        <w:tblLayout w:type="fixed"/>
        <w:tblCellMar>
          <w:top w:w="0" w:type="dxa"/>
          <w:left w:w="0" w:type="dxa"/>
          <w:bottom w:w="28" w:type="dxa"/>
          <w:right w:w="0" w:type="dxa"/>
        </w:tblCellMar>
      </w:tblPr>
      <w:tblGrid>
        <w:gridCol w:w="124"/>
        <w:gridCol w:w="1299"/>
        <w:gridCol w:w="109"/>
        <w:gridCol w:w="109"/>
        <w:gridCol w:w="4238"/>
        <w:gridCol w:w="109"/>
        <w:gridCol w:w="109"/>
        <w:gridCol w:w="255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38"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9"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9" w:type="dxa"/>
            <w:tcBorders/>
            <w:tcMar>
              <w:bottom w:w="0" w:type="dxa"/>
            </w:tcMar>
            <w:vAlign w:val="center"/>
          </w:tcPr>
          <w:p>
            <w:pPr>
              <w:pStyle w:val="TableContents"/>
              <w:bidi w:val="0"/>
              <w:spacing w:before="0" w:after="0"/>
              <w:ind w:left="200" w:right="0" w:hanging="200"/>
              <w:jc w:val="left"/>
              <w:rPr>
                <w:b/>
                <w:i/>
              </w:rPr>
            </w:pPr>
            <w:r>
              <w:rPr>
                <w:b/>
                <w:i/>
                <w:spacing w:val="-4"/>
              </w:rPr>
              <w:t>Mergers and Similar Arrangements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8" w:type="dxa"/>
            <w:tcBorders/>
            <w:tcMar>
              <w:bottom w:w="0" w:type="dxa"/>
            </w:tcMar>
            <w:vAlign w:val="center"/>
          </w:tcPr>
          <w:p>
            <w:pPr>
              <w:pStyle w:val="TableContents"/>
              <w:bidi w:val="0"/>
              <w:spacing w:before="0" w:after="0"/>
              <w:jc w:val="both"/>
              <w:rPr>
                <w:spacing w:val="4"/>
              </w:rPr>
            </w:pPr>
            <w:r>
              <w:rPr>
                <w:spacing w:val="4"/>
              </w:rPr>
              <w:t xml:space="preserve">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59" w:type="dxa"/>
            <w:tcBorders/>
            <w:tcMar>
              <w:bottom w:w="0" w:type="dxa"/>
            </w:tcMar>
            <w:vAlign w:val="center"/>
          </w:tcPr>
          <w:p>
            <w:pPr>
              <w:pStyle w:val="TableContents"/>
              <w:bidi w:val="0"/>
              <w:spacing w:before="0" w:after="0"/>
              <w:jc w:val="both"/>
              <w:rPr/>
            </w:pPr>
            <w:r>
              <w:rPr>
                <w:spacing w:val="4"/>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r>
              <w:rPr/>
              <w:t xml:space="preserve"> </w:t>
            </w:r>
          </w:p>
          <w:p>
            <w:pPr>
              <w:pStyle w:val="TableContents"/>
              <w:bidi w:val="0"/>
              <w:spacing w:lineRule="atLeast" w:line="226" w:before="146" w:after="0"/>
              <w:ind w:left="200" w:right="0" w:hanging="0"/>
              <w:jc w:val="both"/>
              <w:rPr/>
            </w:pPr>
            <w:r>
              <w:rPr>
                <w:spacing w:val="4"/>
              </w:rPr>
              <w:t>the merger agreement does not amend in any respect its certificate of incorporation;</w:t>
            </w:r>
            <w:r>
              <w:rPr/>
              <w:t xml:space="preserve"> </w:t>
            </w:r>
            <w:r>
              <mc:AlternateContent>
                <mc:Choice Requires="wps">
                  <w:drawing>
                    <wp:anchor behindDoc="0" distT="92710" distB="0" distL="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200" w:right="0" w:hanging="0"/>
              <w:jc w:val="both"/>
              <w:rPr/>
            </w:pPr>
            <w:r>
              <w:rPr>
                <w:spacing w:val="4"/>
              </w:rPr>
              <w:t>each share of its stock outstanding prior to the merger will be an identical share of stock following the merger; and</w:t>
            </w:r>
            <w:r>
              <w:rPr/>
              <w:t xml:space="preserve"> </w:t>
            </w:r>
            <w:r>
              <mc:AlternateContent>
                <mc:Choice Requires="wps">
                  <w:drawing>
                    <wp:anchor behindDoc="0" distT="92710" distB="0" distL="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200" w:right="0" w:hanging="0"/>
              <w:jc w:val="both"/>
              <w:rPr>
                <w:spacing w:val="4"/>
              </w:rPr>
            </w:pPr>
            <w:r>
              <w:rPr>
                <w:spacing w:val="4"/>
              </w:rPr>
              <w:t xml:space="preserve">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 </w:t>
            </w:r>
            <w:r>
              <mc:AlternateContent>
                <mc:Choice Requires="wps">
                  <w:drawing>
                    <wp:anchor behindDoc="0" distT="92710" distB="0" distL="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5650"/>
        <w:gridCol w:w="109"/>
        <w:gridCol w:w="109"/>
        <w:gridCol w:w="23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50"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8"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spacing w:val="4"/>
              </w:rPr>
            </w:pPr>
            <w:r>
              <w:rPr>
                <w:spacing w:val="4"/>
              </w:rPr>
              <w:t xml:space="preserve">consolidation will be published in the Cayman Islands Gazette. Court approval is not required for a merger or consolidation which is effected in compliance with these statutory procedures.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r>
              <w:rPr/>
              <w:t xml:space="preserve"> </w:t>
            </w:r>
          </w:p>
          <w:p>
            <w:pPr>
              <w:pStyle w:val="TableContents"/>
              <w:bidi w:val="0"/>
              <w:spacing w:before="120" w:after="283"/>
              <w:jc w:val="both"/>
              <w:rPr>
                <w:spacing w:val="4"/>
              </w:rPr>
            </w:pPr>
            <w:r>
              <w:rPr>
                <w:spacing w:val="4"/>
              </w:rPr>
              <w:t xml:space="preserve">The consent of each holder of a fixed or floating security interest over a constituent company is required unless this requirement is waived by a court 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Mergers in which one corporation owns 90% or more of a second corporation may be completed without the vote of the second corporation’s board of directors or stockholders.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0" w:type="dxa"/>
            <w:tcBorders/>
            <w:tcMar>
              <w:bottom w:w="0" w:type="dxa"/>
            </w:tcMar>
            <w:vAlign w:val="center"/>
          </w:tcPr>
          <w:p>
            <w:pPr>
              <w:pStyle w:val="TableContents"/>
              <w:bidi w:val="0"/>
              <w:spacing w:before="0" w:after="0"/>
              <w:jc w:val="both"/>
              <w:rPr/>
            </w:pPr>
            <w:r>
              <w:rPr>
                <w:spacing w:val="4"/>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(As Revised).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r>
              <w:rPr/>
              <w:t xml:space="preserve"> </w:t>
            </w:r>
          </w:p>
          <w:p>
            <w:pPr>
              <w:pStyle w:val="TableContents"/>
              <w:bidi w:val="0"/>
              <w:spacing w:before="120" w:after="283"/>
              <w:jc w:val="both"/>
              <w:rPr>
                <w:spacing w:val="4"/>
              </w:rPr>
            </w:pPr>
            <w:r>
              <w:rPr>
                <w:spacing w:val="4"/>
              </w:rPr>
              <w:t xml:space="preserve">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shareholders or class of shareholders, as the case may be, or (b) a majority in number representing 75% in value of the creditors or class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8" w:type="dxa"/>
            <w:tcBorders/>
            <w:tcMar>
              <w:bottom w:w="0" w:type="dxa"/>
            </w:tcMar>
            <w:vAlign w:val="center"/>
          </w:tcPr>
          <w:p>
            <w:pPr>
              <w:pStyle w:val="TableContents"/>
              <w:bidi w:val="0"/>
              <w:spacing w:before="0" w:after="0"/>
              <w:jc w:val="both"/>
              <w:rPr>
                <w:spacing w:val="4"/>
              </w:rPr>
            </w:pPr>
            <w:r>
              <w:rPr>
                <w:spacing w:val="4"/>
              </w:rPr>
              <w:t xml:space="preserve">Generally, a stockholder of a publicly traded corporation does not have appraisal rights in connection with a merger.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9"/>
        <w:gridCol w:w="6984"/>
        <w:gridCol w:w="109"/>
        <w:gridCol w:w="109"/>
        <w:gridCol w:w="100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8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84" w:type="dxa"/>
            <w:tcBorders/>
            <w:tcMar>
              <w:bottom w:w="0" w:type="dxa"/>
            </w:tcMar>
            <w:vAlign w:val="center"/>
          </w:tcPr>
          <w:p>
            <w:pPr>
              <w:pStyle w:val="TableContents"/>
              <w:bidi w:val="0"/>
              <w:spacing w:before="0" w:after="0"/>
              <w:jc w:val="both"/>
              <w:rPr/>
            </w:pPr>
            <w:r>
              <w:rPr>
                <w:spacing w:val="4"/>
              </w:rPr>
              <w:t>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r>
              <w:rPr/>
              <w:t xml:space="preserve"> </w:t>
            </w:r>
          </w:p>
          <w:p>
            <w:pPr>
              <w:pStyle w:val="TableContents"/>
              <w:bidi w:val="0"/>
              <w:spacing w:lineRule="atLeast" w:line="226" w:before="146" w:after="0"/>
              <w:ind w:left="160" w:right="0" w:hanging="0"/>
              <w:jc w:val="both"/>
              <w:rPr/>
            </w:pPr>
            <w:r>
              <w:rPr>
                <w:spacing w:val="4"/>
              </w:rPr>
              <w:t>the statutory provisions as to the required majority vote have been met;</w:t>
            </w:r>
            <w:r>
              <w:rPr/>
              <w:t xml:space="preserve"> </w:t>
            </w:r>
            <w:r>
              <mc:AlternateContent>
                <mc:Choice Requires="wps">
                  <w:drawing>
                    <wp:anchor behindDoc="0" distT="92710" distB="0" distL="0" distR="0" simplePos="0" locked="0" layoutInCell="1" allowOverlap="1" relativeHeight="84">
                      <wp:simplePos x="0" y="0"/>
                      <wp:positionH relativeFrom="column">
                        <wp:align>left</wp:align>
                      </wp:positionH>
                      <wp:positionV relativeFrom="line">
                        <wp:align>top</wp:align>
                      </wp:positionV>
                      <wp:extent cx="1016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26" w:before="146" w:after="0"/>
              <w:ind w:left="160" w:right="0" w:hanging="0"/>
              <w:jc w:val="both"/>
              <w:rPr/>
            </w:pPr>
            <w:r>
              <w:rPr>
                <w:spacing w:val="4"/>
              </w:rPr>
              <w:t>the shareholders have been fairly represented at the meeting in question and the statutory majority are acting bona fide without coercion of the minority to promote interests adverse to those of the class;</w:t>
            </w:r>
            <w:r>
              <w:rPr/>
              <w:t xml:space="preserve"> </w:t>
            </w:r>
            <w:r>
              <mc:AlternateContent>
                <mc:Choice Requires="wps">
                  <w:drawing>
                    <wp:anchor behindDoc="0" distT="92710" distB="0" distL="0" distR="0" simplePos="0" locked="0" layoutInCell="1" allowOverlap="1" relativeHeight="85">
                      <wp:simplePos x="0" y="0"/>
                      <wp:positionH relativeFrom="column">
                        <wp:align>left</wp:align>
                      </wp:positionH>
                      <wp:positionV relativeFrom="line">
                        <wp:align>top</wp:align>
                      </wp:positionV>
                      <wp:extent cx="1016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26" w:before="146" w:after="0"/>
              <w:ind w:left="160" w:right="0" w:hanging="0"/>
              <w:jc w:val="both"/>
              <w:rPr/>
            </w:pPr>
            <w:r>
              <w:rPr>
                <w:spacing w:val="4"/>
              </w:rPr>
              <w:t>the arrangement is such that may be reasonably approved by an intelligent and honest man of that class acting in respect of his interest; and</w:t>
            </w:r>
            <w:r>
              <w:rPr/>
              <w:t xml:space="preserve"> </w:t>
            </w:r>
            <w:r>
              <mc:AlternateContent>
                <mc:Choice Requires="wps">
                  <w:drawing>
                    <wp:anchor behindDoc="0" distT="92710" distB="0" distL="0" distR="0" simplePos="0" locked="0" layoutInCell="1" allowOverlap="1" relativeHeight="86">
                      <wp:simplePos x="0" y="0"/>
                      <wp:positionH relativeFrom="column">
                        <wp:align>left</wp:align>
                      </wp:positionH>
                      <wp:positionV relativeFrom="line">
                        <wp:align>top</wp:align>
                      </wp:positionV>
                      <wp:extent cx="1016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lineRule="atLeast" w:line="226" w:before="146" w:after="0"/>
              <w:ind w:left="160" w:right="0" w:hanging="0"/>
              <w:jc w:val="both"/>
              <w:rPr/>
            </w:pPr>
            <w:r>
              <w:rPr>
                <w:spacing w:val="4"/>
              </w:rPr>
              <w:t>the arrangement is not one that would more properly be sanctioned under some other provision of the Companies Act (As Revised).</w:t>
            </w:r>
            <w:r>
              <w:rPr/>
              <w:t xml:space="preserve"> </w:t>
            </w:r>
            <w:r>
              <mc:AlternateContent>
                <mc:Choice Requires="wps">
                  <w:drawing>
                    <wp:anchor behindDoc="0" distT="92710" distB="0" distL="0" distR="0" simplePos="0" locked="0" layoutInCell="1" allowOverlap="1" relativeHeight="87">
                      <wp:simplePos x="0" y="0"/>
                      <wp:positionH relativeFrom="column">
                        <wp:align>left</wp:align>
                      </wp:positionH>
                      <wp:positionV relativeFrom="line">
                        <wp:align>top</wp:align>
                      </wp:positionV>
                      <wp:extent cx="1016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both"/>
              <w:rPr/>
            </w:pPr>
            <w:r>
              <w:rPr/>
              <w:t>​</w:t>
            </w:r>
          </w:p>
          <w:p>
            <w:pPr>
              <w:pStyle w:val="TableContents"/>
              <w:bidi w:val="0"/>
              <w:spacing w:before="146" w:after="283"/>
              <w:jc w:val="both"/>
              <w:rPr/>
            </w:pPr>
            <w:r>
              <w:rPr>
                <w:spacing w:val="4"/>
              </w:rPr>
              <w:t>The Companies Act (As Revised)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r>
              <w:rPr/>
              <w:t xml:space="preserve"> </w:t>
            </w:r>
          </w:p>
          <w:p>
            <w:pPr>
              <w:pStyle w:val="TableContents"/>
              <w:bidi w:val="0"/>
              <w:spacing w:before="146" w:after="283"/>
              <w:jc w:val="both"/>
              <w:rPr>
                <w:spacing w:val="4"/>
              </w:rPr>
            </w:pPr>
            <w:r>
              <w:rPr>
                <w:spacing w:val="4"/>
              </w:rPr>
              <w:t xml:space="preserve">If an arrangement and reconstruction by way of scheme of arrangement is thus approved and sanctioned, or if a tender offer is made and accepted in accordance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586"/>
        <w:gridCol w:w="109"/>
        <w:gridCol w:w="109"/>
        <w:gridCol w:w="3364"/>
        <w:gridCol w:w="109"/>
        <w:gridCol w:w="109"/>
        <w:gridCol w:w="314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6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47"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4" w:type="dxa"/>
            <w:tcBorders/>
            <w:tcMar>
              <w:bottom w:w="0" w:type="dxa"/>
            </w:tcMar>
            <w:vAlign w:val="center"/>
          </w:tcPr>
          <w:p>
            <w:pPr>
              <w:pStyle w:val="TableContents"/>
              <w:bidi w:val="0"/>
              <w:spacing w:before="0" w:after="0"/>
              <w:jc w:val="both"/>
              <w:rPr>
                <w:spacing w:val="4"/>
              </w:rPr>
            </w:pPr>
            <w:r>
              <w:rPr>
                <w:spacing w:val="4"/>
              </w:rPr>
              <w:t xml:space="preserve">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0"/>
              <w:jc w:val="left"/>
              <w:rPr>
                <w:b/>
                <w:i/>
              </w:rPr>
            </w:pPr>
            <w:r>
              <w:rPr>
                <w:b/>
                <w:i/>
                <w:spacing w:val="-4"/>
              </w:rPr>
              <w:t>Shareholders’ Suits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4" w:type="dxa"/>
            <w:tcBorders/>
            <w:tcMar>
              <w:bottom w:w="0" w:type="dxa"/>
            </w:tcMar>
            <w:vAlign w:val="center"/>
          </w:tcPr>
          <w:p>
            <w:pPr>
              <w:pStyle w:val="TableContents"/>
              <w:bidi w:val="0"/>
              <w:spacing w:before="0" w:after="0"/>
              <w:jc w:val="both"/>
              <w:rPr/>
            </w:pPr>
            <w:r>
              <w:rPr>
                <w:spacing w:val="4"/>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r>
              <w:rPr/>
              <w:t xml:space="preserve"> </w:t>
            </w:r>
          </w:p>
          <w:p>
            <w:pPr>
              <w:pStyle w:val="TableContents"/>
              <w:bidi w:val="0"/>
              <w:spacing w:lineRule="atLeast" w:line="226" w:before="146" w:after="0"/>
              <w:ind w:left="200" w:right="0" w:hanging="0"/>
              <w:jc w:val="both"/>
              <w:rPr/>
            </w:pPr>
            <w:r>
              <w:rPr>
                <w:spacing w:val="4"/>
              </w:rPr>
              <w:t>a company acts or proposes to act illegally or ultra vires;</w:t>
            </w:r>
            <w:r>
              <w:rPr/>
              <w:t xml:space="preserve"> </w:t>
            </w:r>
            <w:r>
              <mc:AlternateContent>
                <mc:Choice Requires="wps">
                  <w:drawing>
                    <wp:anchor behindDoc="0" distT="92710" distB="0" distL="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200" w:right="0" w:hanging="0"/>
              <w:jc w:val="both"/>
              <w:rPr/>
            </w:pPr>
            <w:r>
              <w:rPr>
                <w:spacing w:val="4"/>
              </w:rPr>
              <w:t>the act complained of, although not ultra vires, could only be effected duly if authorized by more than a simple majority vote that has not been obtained; and</w:t>
            </w:r>
            <w:r>
              <w:rPr/>
              <w:t xml:space="preserve"> </w:t>
            </w:r>
            <w:r>
              <mc:AlternateContent>
                <mc:Choice Requires="wps">
                  <w:drawing>
                    <wp:anchor behindDoc="0" distT="92710" distB="0" distL="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200" w:right="0" w:hanging="0"/>
              <w:jc w:val="both"/>
              <w:rPr>
                <w:spacing w:val="4"/>
              </w:rPr>
            </w:pPr>
            <w:r>
              <w:rPr>
                <w:spacing w:val="4"/>
              </w:rPr>
              <w:t xml:space="preserve">those who control the company are perpetrating a “fraud on the minority.” </w:t>
            </w:r>
            <w:r>
              <mc:AlternateContent>
                <mc:Choice Requires="wps">
                  <w:drawing>
                    <wp:anchor behindDoc="0" distT="92710" distB="0" distL="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26" w:before="0" w:after="283"/>
                              <w:jc w:val="both"/>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7" w:type="dxa"/>
            <w:tcBorders/>
            <w:tcMar>
              <w:bottom w:w="0" w:type="dxa"/>
            </w:tcMar>
            <w:vAlign w:val="center"/>
          </w:tcPr>
          <w:p>
            <w:pPr>
              <w:pStyle w:val="TableContents"/>
              <w:bidi w:val="0"/>
              <w:spacing w:before="0" w:after="0"/>
              <w:jc w:val="both"/>
              <w:rPr>
                <w:spacing w:val="4"/>
              </w:rPr>
            </w:pPr>
            <w:r>
              <w:rPr>
                <w:spacing w:val="4"/>
              </w:rPr>
              <w:t xml:space="preserve">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0"/>
              <w:ind w:left="200" w:right="0" w:hanging="200"/>
              <w:jc w:val="left"/>
              <w:rPr>
                <w:b/>
                <w:i/>
              </w:rPr>
            </w:pPr>
            <w:r>
              <w:rPr>
                <w:b/>
                <w:i/>
                <w:spacing w:val="-4"/>
              </w:rPr>
              <w:t>Indemnification of Directors and Executive Officers and Limitation of Liability</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64" w:type="dxa"/>
            <w:tcBorders/>
            <w:tcMar>
              <w:bottom w:w="0" w:type="dxa"/>
            </w:tcMar>
            <w:vAlign w:val="center"/>
          </w:tcPr>
          <w:p>
            <w:pPr>
              <w:pStyle w:val="TableContents"/>
              <w:bidi w:val="0"/>
              <w:spacing w:before="0" w:after="0"/>
              <w:jc w:val="both"/>
              <w:rPr>
                <w:spacing w:val="4"/>
              </w:rPr>
            </w:pPr>
            <w:r>
              <w:rPr>
                <w:spacing w:val="4"/>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47" w:type="dxa"/>
            <w:tcBorders/>
            <w:tcMar>
              <w:bottom w:w="0" w:type="dxa"/>
            </w:tcMar>
            <w:vAlign w:val="center"/>
          </w:tcPr>
          <w:p>
            <w:pPr>
              <w:pStyle w:val="TableContents"/>
              <w:bidi w:val="0"/>
              <w:spacing w:before="0" w:after="0"/>
              <w:jc w:val="both"/>
              <w:rPr>
                <w:spacing w:val="4"/>
              </w:rPr>
            </w:pPr>
            <w:r>
              <w:rPr>
                <w:spacing w:val="4"/>
              </w:rPr>
              <w:t xml:space="preserve">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93"/>
        <w:gridCol w:w="109"/>
        <w:gridCol w:w="109"/>
        <w:gridCol w:w="4081"/>
        <w:gridCol w:w="109"/>
        <w:gridCol w:w="109"/>
        <w:gridCol w:w="312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81"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23"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1" w:type="dxa"/>
            <w:tcBorders/>
            <w:tcMar>
              <w:bottom w:w="0" w:type="dxa"/>
            </w:tcMar>
            <w:vAlign w:val="center"/>
          </w:tcPr>
          <w:p>
            <w:pPr>
              <w:pStyle w:val="TableContents"/>
              <w:bidi w:val="0"/>
              <w:spacing w:before="0" w:after="0"/>
              <w:jc w:val="both"/>
              <w:rPr/>
            </w:pPr>
            <w:r>
              <w:rPr>
                <w:spacing w:val="4"/>
              </w:rPr>
              <w:t>(including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our affairs in any court whether in the Cayman Islands or elsewhere.</w:t>
            </w:r>
            <w:r>
              <w:rPr/>
              <w:t xml:space="preserve"> </w:t>
            </w:r>
          </w:p>
          <w:p>
            <w:pPr>
              <w:pStyle w:val="TableContents"/>
              <w:bidi w:val="0"/>
              <w:spacing w:before="120" w:after="283"/>
              <w:jc w:val="both"/>
              <w:rPr/>
            </w:pPr>
            <w:r>
              <w:rPr>
                <w:spacing w:val="4"/>
              </w:rPr>
              <w:t>In addition, we have entered into indemnification agreements with our directors and executive officers that provide such persons with additional indemnification beyond that provided in the Articles.</w:t>
            </w:r>
            <w:r>
              <w:rPr/>
              <w:t xml:space="preserve"> </w:t>
            </w:r>
          </w:p>
          <w:p>
            <w:pPr>
              <w:pStyle w:val="TableContents"/>
              <w:bidi w:val="0"/>
              <w:spacing w:before="120" w:after="283"/>
              <w:jc w:val="both"/>
              <w:rPr>
                <w:spacing w:val="4"/>
              </w:rPr>
            </w:pPr>
            <w:r>
              <w:rPr>
                <w:spacing w:val="4"/>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3" w:type="dxa"/>
            <w:tcBorders/>
            <w:tcMar>
              <w:bottom w:w="0" w:type="dxa"/>
            </w:tcMar>
            <w:vAlign w:val="center"/>
          </w:tcPr>
          <w:p>
            <w:pPr>
              <w:pStyle w:val="TableContents"/>
              <w:bidi w:val="0"/>
              <w:spacing w:before="0" w:after="0"/>
              <w:jc w:val="both"/>
              <w:rPr>
                <w:spacing w:val="4"/>
              </w:rPr>
            </w:pPr>
            <w:r>
              <w:rPr>
                <w:spacing w:val="4"/>
              </w:rPr>
              <w:t xml:space="preserve">or proceeding brought against him or her by reason of the fact that he or she is or was a director or officer of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3" w:type="dxa"/>
            <w:tcBorders/>
            <w:tcMar>
              <w:bottom w:w="0" w:type="dxa"/>
            </w:tcMar>
            <w:vAlign w:val="center"/>
          </w:tcPr>
          <w:p>
            <w:pPr>
              <w:pStyle w:val="TableContents"/>
              <w:bidi w:val="0"/>
              <w:spacing w:lineRule="atLeast" w:line="226" w:before="0" w:after="0"/>
              <w:ind w:left="200" w:right="0" w:hanging="200"/>
              <w:jc w:val="left"/>
              <w:rPr>
                <w:b/>
                <w:i/>
              </w:rPr>
            </w:pPr>
            <w:r>
              <w:rPr>
                <w:b/>
                <w:i/>
                <w:spacing w:val="-4"/>
              </w:rPr>
              <w:t>Directors’ Fiduciary Duties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81" w:type="dxa"/>
            <w:tcBorders/>
            <w:tcMar>
              <w:bottom w:w="0" w:type="dxa"/>
            </w:tcMar>
            <w:vAlign w:val="center"/>
          </w:tcPr>
          <w:p>
            <w:pPr>
              <w:pStyle w:val="TableContents"/>
              <w:bidi w:val="0"/>
              <w:spacing w:before="0" w:after="0"/>
              <w:jc w:val="both"/>
              <w:rPr>
                <w:spacing w:val="4"/>
              </w:rPr>
            </w:pPr>
            <w:r>
              <w:rPr>
                <w:spacing w:val="4"/>
              </w:rPr>
              <w:t xml:space="preserve">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3" w:type="dxa"/>
            <w:tcBorders/>
            <w:tcMar>
              <w:bottom w:w="0" w:type="dxa"/>
            </w:tcMar>
            <w:vAlign w:val="center"/>
          </w:tcPr>
          <w:p>
            <w:pPr>
              <w:pStyle w:val="TableContents"/>
              <w:bidi w:val="0"/>
              <w:spacing w:before="0" w:after="0"/>
              <w:jc w:val="both"/>
              <w:rPr/>
            </w:pPr>
            <w:r>
              <w:rPr>
                <w:spacing w:val="4"/>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r>
              <w:rPr/>
              <w:t xml:space="preserve"> </w:t>
            </w:r>
          </w:p>
          <w:p>
            <w:pPr>
              <w:pStyle w:val="TableContents"/>
              <w:bidi w:val="0"/>
              <w:spacing w:before="120" w:after="283"/>
              <w:jc w:val="both"/>
              <w:rPr/>
            </w:pPr>
            <w:r>
              <w:rPr>
                <w:spacing w:val="4"/>
              </w:rPr>
              <w:t>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r>
              <w:rPr/>
              <w:t xml:space="preserve"> </w:t>
            </w:r>
          </w:p>
          <w:p>
            <w:pPr>
              <w:pStyle w:val="TableContents"/>
              <w:bidi w:val="0"/>
              <w:spacing w:before="120" w:after="283"/>
              <w:jc w:val="both"/>
              <w:rPr>
                <w:spacing w:val="4"/>
              </w:rPr>
            </w:pPr>
            <w:r>
              <w:rPr>
                <w:spacing w:val="4"/>
              </w:rPr>
              <w:t xml:space="preserve">In general, actions of a director are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95"/>
        <w:gridCol w:w="109"/>
        <w:gridCol w:w="109"/>
        <w:gridCol w:w="3759"/>
        <w:gridCol w:w="109"/>
        <w:gridCol w:w="109"/>
        <w:gridCol w:w="304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9"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43"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9" w:type="dxa"/>
            <w:tcBorders/>
            <w:tcMar>
              <w:bottom w:w="0" w:type="dxa"/>
            </w:tcMar>
            <w:vAlign w:val="center"/>
          </w:tcPr>
          <w:p>
            <w:pPr>
              <w:pStyle w:val="TableContents"/>
              <w:bidi w:val="0"/>
              <w:spacing w:before="0" w:after="283"/>
              <w:jc w:val="left"/>
              <w:rPr>
                <w:spacing w:val="4"/>
              </w:rPr>
            </w:pPr>
            <w:r>
              <w:rPr>
                <w:spacing w:val="4"/>
              </w:rPr>
              <w:t xml:space="preserve">in the 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3" w:type="dxa"/>
            <w:tcBorders/>
            <w:tcMar>
              <w:bottom w:w="0" w:type="dxa"/>
            </w:tcMar>
            <w:vAlign w:val="center"/>
          </w:tcPr>
          <w:p>
            <w:pPr>
              <w:pStyle w:val="TableContents"/>
              <w:bidi w:val="0"/>
              <w:spacing w:before="0" w:after="0"/>
              <w:jc w:val="both"/>
              <w:rPr>
                <w:spacing w:val="4"/>
              </w:rPr>
            </w:pPr>
            <w:r>
              <w:rPr>
                <w:spacing w:val="4"/>
              </w:rPr>
              <w:t xml:space="preserve">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0"/>
              <w:ind w:left="200" w:right="0" w:hanging="200"/>
              <w:jc w:val="left"/>
              <w:rPr>
                <w:b/>
                <w:i/>
              </w:rPr>
            </w:pPr>
            <w:r>
              <w:rPr>
                <w:b/>
                <w:i/>
                <w:spacing w:val="-4"/>
              </w:rPr>
              <w:t>Shareholder Action by Written Consent</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9" w:type="dxa"/>
            <w:tcBorders/>
            <w:tcMar>
              <w:bottom w:w="0" w:type="dxa"/>
            </w:tcMar>
            <w:vAlign w:val="center"/>
          </w:tcPr>
          <w:p>
            <w:pPr>
              <w:pStyle w:val="TableContents"/>
              <w:bidi w:val="0"/>
              <w:spacing w:before="0" w:after="0"/>
              <w:jc w:val="both"/>
              <w:rPr>
                <w:spacing w:val="4"/>
              </w:rPr>
            </w:pPr>
            <w:r>
              <w:rPr>
                <w:spacing w:val="4"/>
              </w:rPr>
              <w:t xml:space="preserve">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3"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eliminate the right of shareholders to act by written consent by amendment to its certificate of incorporation.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lineRule="atLeast" w:line="226" w:before="0" w:after="0"/>
              <w:ind w:left="200" w:right="0" w:hanging="200"/>
              <w:jc w:val="left"/>
              <w:rPr>
                <w:b/>
                <w:i/>
              </w:rPr>
            </w:pPr>
            <w:r>
              <w:rPr>
                <w:b/>
                <w:i/>
                <w:spacing w:val="-4"/>
              </w:rPr>
              <w:t>Shareholder Proposals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9" w:type="dxa"/>
            <w:tcBorders/>
            <w:tcMar>
              <w:bottom w:w="0" w:type="dxa"/>
            </w:tcMar>
            <w:vAlign w:val="center"/>
          </w:tcPr>
          <w:p>
            <w:pPr>
              <w:pStyle w:val="TableContents"/>
              <w:bidi w:val="0"/>
              <w:spacing w:before="0" w:after="0"/>
              <w:jc w:val="both"/>
              <w:rPr>
                <w:spacing w:val="4"/>
              </w:rPr>
            </w:pPr>
            <w:r>
              <w:rPr>
                <w:spacing w:val="4"/>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However, the Articles do not contain such rights. As a Cayman Islands exempted company, we are not obliged by law to call shareholders’ annual general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3"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5" w:type="dxa"/>
            <w:tcBorders/>
            <w:tcMar>
              <w:bottom w:w="0" w:type="dxa"/>
            </w:tcMar>
            <w:vAlign w:val="center"/>
          </w:tcPr>
          <w:p>
            <w:pPr>
              <w:pStyle w:val="TableContents"/>
              <w:bidi w:val="0"/>
              <w:spacing w:before="0" w:after="0"/>
              <w:jc w:val="left"/>
              <w:rPr>
                <w:b/>
                <w:i/>
              </w:rPr>
            </w:pPr>
            <w:r>
              <w:rPr>
                <w:b/>
                <w:i/>
                <w:spacing w:val="-4"/>
              </w:rPr>
              <w:t>Cumulative Voting</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9" w:type="dxa"/>
            <w:tcBorders/>
            <w:tcMar>
              <w:bottom w:w="0" w:type="dxa"/>
            </w:tcMar>
            <w:vAlign w:val="center"/>
          </w:tcPr>
          <w:p>
            <w:pPr>
              <w:pStyle w:val="TableContents"/>
              <w:bidi w:val="0"/>
              <w:spacing w:before="0" w:after="0"/>
              <w:jc w:val="both"/>
              <w:rPr>
                <w:spacing w:val="4"/>
              </w:rPr>
            </w:pPr>
            <w:r>
              <w:rPr>
                <w:spacing w:val="4"/>
              </w:rPr>
              <w:t xml:space="preserve">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3"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cumulative voting for elections of directors is not permitted unless the corporation’s certificate of incorporation specifically provides for it.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221"/>
        <w:gridCol w:w="109"/>
        <w:gridCol w:w="109"/>
        <w:gridCol w:w="4851"/>
        <w:gridCol w:w="109"/>
        <w:gridCol w:w="109"/>
        <w:gridCol w:w="202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51"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5"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1" w:type="dxa"/>
            <w:tcBorders/>
            <w:tcMar>
              <w:bottom w:w="0" w:type="dxa"/>
            </w:tcMar>
            <w:vAlign w:val="center"/>
          </w:tcPr>
          <w:p>
            <w:pPr>
              <w:pStyle w:val="TableContents"/>
              <w:bidi w:val="0"/>
              <w:spacing w:before="0" w:after="0"/>
              <w:jc w:val="left"/>
              <w:rPr>
                <w:b/>
                <w:i/>
              </w:rPr>
            </w:pPr>
            <w:r>
              <w:rPr>
                <w:b/>
                <w:i/>
                <w:spacing w:val="-4"/>
              </w:rPr>
              <w:t>Removal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1" w:type="dxa"/>
            <w:tcBorders/>
            <w:tcMar>
              <w:bottom w:w="0" w:type="dxa"/>
            </w:tcMar>
            <w:vAlign w:val="center"/>
          </w:tcPr>
          <w:p>
            <w:pPr>
              <w:pStyle w:val="TableContents"/>
              <w:bidi w:val="0"/>
              <w:spacing w:before="0" w:after="0"/>
              <w:jc w:val="both"/>
              <w:rPr>
                <w:spacing w:val="4"/>
              </w:rPr>
            </w:pPr>
            <w:r>
              <w:rPr>
                <w:spacing w:val="4"/>
              </w:rPr>
              <w:t xml:space="preserve">Under our Articles, a director (other than the Sponsor Director and any of the Betters Directors) may be removed by way of an ordinary resolution of shareholders at any time before the expiration of his period of office notwithstanding anything in the Articles or in any agreement between our company and such director. Notwithstanding the foregoing, the Sponsor Director may be removed by the Sponsor and the Betters Directors may be removed by Betters Medical (or its affiliates), in each case, by written notice to our company. A vacancy on the board created by the removal of a director pursuant to the above may be filled by the election or appointment by ordinary resolution of shareholders at the meeting at which such director is removed or by the affirmative vote of a simple majority of the remaining directors present and voting at a board meeting provided, that in the case of the removal of the Sponsor Director or any of the Betters Directors, the Sponsor and/or Betters Medical (or its affiliates) shall solely be entitled to appoint another person as the Sponsor Director or the Betters Director. Under the Articles, a director’s office shall be vacated if the director (i) becomes bankrupt or has a receiving order made against him or suspends payment or compounds with his creditors; (ii) is found to be or becomes of unsound mind or dies; (iii) resigns his office by notice in writing to our company; (iv) other than the Sponsor Director or any of the Betters Directors, without special leave of absence from the board of directors, is absent from three consecutive meetings of the board and the board resolves that his office be vacated; (v) is prohibited by law from being a director or; (vi) is removed from office pursuant to the laws of the Cayman Islands or any other provisions of the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5"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director of a corporation with a classified board may be removed only for cause with the approval of a majority of the issued and outstanding shares entitled to vote,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1" w:type="dxa"/>
            <w:tcBorders/>
            <w:tcMar>
              <w:bottom w:w="0" w:type="dxa"/>
            </w:tcMar>
            <w:vAlign w:val="center"/>
          </w:tcPr>
          <w:p>
            <w:pPr>
              <w:pStyle w:val="TableContents"/>
              <w:bidi w:val="0"/>
              <w:spacing w:before="0" w:after="0"/>
              <w:ind w:left="200" w:right="0" w:hanging="200"/>
              <w:jc w:val="left"/>
              <w:rPr>
                <w:b/>
                <w:i/>
              </w:rPr>
            </w:pPr>
            <w:r>
              <w:rPr>
                <w:b/>
                <w:i/>
                <w:spacing w:val="-4"/>
              </w:rPr>
              <w:t>Transactions with Interested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1" w:type="dxa"/>
            <w:tcBorders/>
            <w:tcMar>
              <w:bottom w:w="0" w:type="dxa"/>
            </w:tcMar>
            <w:vAlign w:val="center"/>
          </w:tcPr>
          <w:p>
            <w:pPr>
              <w:pStyle w:val="TableContents"/>
              <w:bidi w:val="0"/>
              <w:spacing w:before="0" w:after="0"/>
              <w:jc w:val="both"/>
              <w:rPr>
                <w:spacing w:val="4"/>
              </w:rPr>
            </w:pPr>
            <w:r>
              <w:rPr>
                <w:spacing w:val="4"/>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5" w:type="dxa"/>
            <w:tcBorders/>
            <w:tcMar>
              <w:bottom w:w="0" w:type="dxa"/>
            </w:tcMar>
            <w:vAlign w:val="center"/>
          </w:tcPr>
          <w:p>
            <w:pPr>
              <w:pStyle w:val="TableContents"/>
              <w:bidi w:val="0"/>
              <w:spacing w:before="0" w:after="0"/>
              <w:jc w:val="both"/>
              <w:rPr>
                <w:spacing w:val="4"/>
              </w:rPr>
            </w:pPr>
            <w:r>
              <w:rPr>
                <w:spacing w:val="4"/>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149"/>
        <w:gridCol w:w="109"/>
        <w:gridCol w:w="109"/>
        <w:gridCol w:w="2764"/>
        <w:gridCol w:w="109"/>
        <w:gridCol w:w="109"/>
        <w:gridCol w:w="418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6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8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4" w:type="dxa"/>
            <w:tcBorders/>
            <w:tcMar>
              <w:bottom w:w="0" w:type="dxa"/>
            </w:tcMar>
            <w:vAlign w:val="center"/>
          </w:tcPr>
          <w:p>
            <w:pPr>
              <w:pStyle w:val="TableContents"/>
              <w:bidi w:val="0"/>
              <w:spacing w:before="0" w:after="0"/>
              <w:jc w:val="both"/>
              <w:rPr>
                <w:spacing w:val="4"/>
              </w:rPr>
            </w:pPr>
            <w:r>
              <w:rPr>
                <w:spacing w:val="4"/>
              </w:rPr>
              <w:t xml:space="preserve">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84" w:type="dxa"/>
            <w:tcBorders/>
            <w:tcMar>
              <w:bottom w:w="0" w:type="dxa"/>
            </w:tcMar>
            <w:vAlign w:val="center"/>
          </w:tcPr>
          <w:p>
            <w:pPr>
              <w:pStyle w:val="TableContents"/>
              <w:bidi w:val="0"/>
              <w:spacing w:before="0" w:after="0"/>
              <w:jc w:val="both"/>
              <w:rPr>
                <w:spacing w:val="4"/>
              </w:rPr>
            </w:pPr>
            <w:r>
              <w:rPr>
                <w:spacing w:val="4"/>
              </w:rPr>
              <w:t>“</w:t>
            </w:r>
            <w:r>
              <w:rPr>
                <w:spacing w:val="4"/>
              </w:rPr>
              <w:t xml:space="preserve">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9" w:type="dxa"/>
            <w:tcBorders/>
            <w:tcMar>
              <w:bottom w:w="0" w:type="dxa"/>
            </w:tcMar>
            <w:vAlign w:val="center"/>
          </w:tcPr>
          <w:p>
            <w:pPr>
              <w:pStyle w:val="TableContents"/>
              <w:bidi w:val="0"/>
              <w:spacing w:before="0" w:after="0"/>
              <w:ind w:left="200" w:right="0" w:hanging="200"/>
              <w:jc w:val="left"/>
              <w:rPr>
                <w:b/>
                <w:i/>
              </w:rPr>
            </w:pPr>
            <w:r>
              <w:rPr>
                <w:b/>
                <w:i/>
                <w:spacing w:val="-4"/>
              </w:rPr>
              <w:t>Dissolution; Winding Up</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4" w:type="dxa"/>
            <w:tcBorders/>
            <w:tcMar>
              <w:bottom w:w="0" w:type="dxa"/>
            </w:tcMar>
            <w:vAlign w:val="center"/>
          </w:tcPr>
          <w:p>
            <w:pPr>
              <w:pStyle w:val="TableContents"/>
              <w:bidi w:val="0"/>
              <w:spacing w:before="0" w:after="0"/>
              <w:jc w:val="both"/>
              <w:rPr>
                <w:spacing w:val="4"/>
              </w:rPr>
            </w:pPr>
            <w:r>
              <w:rPr>
                <w:spacing w:val="4"/>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84"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9" w:type="dxa"/>
            <w:tcBorders/>
            <w:tcMar>
              <w:bottom w:w="0" w:type="dxa"/>
            </w:tcMar>
            <w:vAlign w:val="center"/>
          </w:tcPr>
          <w:p>
            <w:pPr>
              <w:pStyle w:val="TableContents"/>
              <w:bidi w:val="0"/>
              <w:spacing w:lineRule="atLeast" w:line="226" w:before="0" w:after="0"/>
              <w:ind w:left="200" w:right="0" w:hanging="200"/>
              <w:jc w:val="left"/>
              <w:rPr>
                <w:b/>
                <w:i/>
              </w:rPr>
            </w:pPr>
            <w:r>
              <w:rPr>
                <w:b/>
                <w:i/>
                <w:spacing w:val="-4"/>
              </w:rPr>
              <w:t>Variation of Rights of Shares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4" w:type="dxa"/>
            <w:tcBorders/>
            <w:tcMar>
              <w:bottom w:w="0" w:type="dxa"/>
            </w:tcMar>
            <w:vAlign w:val="center"/>
          </w:tcPr>
          <w:p>
            <w:pPr>
              <w:pStyle w:val="TableContents"/>
              <w:bidi w:val="0"/>
              <w:spacing w:before="0" w:after="0"/>
              <w:jc w:val="both"/>
              <w:rPr>
                <w:spacing w:val="4"/>
              </w:rPr>
            </w:pPr>
            <w:r>
              <w:rPr>
                <w:spacing w:val="4"/>
              </w:rPr>
              <w:t xml:space="preserve">Under the Articles, if our share capital is divided into more than one class of shares, the rights attached to any such class may only be varied with the sanction of a resolution passed by a majority of two- thirds of the votes cast at a separate meeting of the holders of the shares of that class.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84"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 may vary the rights of a class of shares with the approval of a majority of the outstanding shares of such class,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9" w:type="dxa"/>
            <w:tcBorders/>
            <w:tcMar>
              <w:bottom w:w="0" w:type="dxa"/>
            </w:tcMar>
            <w:vAlign w:val="center"/>
          </w:tcPr>
          <w:p>
            <w:pPr>
              <w:pStyle w:val="TableContents"/>
              <w:bidi w:val="0"/>
              <w:spacing w:before="0" w:after="0"/>
              <w:ind w:left="200" w:right="0" w:hanging="200"/>
              <w:jc w:val="left"/>
              <w:rPr>
                <w:b/>
                <w:i/>
              </w:rPr>
            </w:pPr>
            <w:r>
              <w:rPr>
                <w:b/>
                <w:i/>
                <w:spacing w:val="-4"/>
              </w:rPr>
              <w:t>Amendment of Governing Documents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64" w:type="dxa"/>
            <w:tcBorders/>
            <w:tcMar>
              <w:bottom w:w="0" w:type="dxa"/>
            </w:tcMar>
            <w:vAlign w:val="center"/>
          </w:tcPr>
          <w:p>
            <w:pPr>
              <w:pStyle w:val="TableContents"/>
              <w:bidi w:val="0"/>
              <w:spacing w:before="0" w:after="0"/>
              <w:jc w:val="both"/>
              <w:rPr>
                <w:spacing w:val="4"/>
              </w:rPr>
            </w:pPr>
            <w:r>
              <w:rPr>
                <w:spacing w:val="4"/>
              </w:rPr>
              <w:t xml:space="preserve">Under the Companies Act and our Amended and Restated Memorandum and Articles of Association, our memorandum and articles of association may only be amended by a special resolution of our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84" w:type="dxa"/>
            <w:tcBorders/>
            <w:tcMar>
              <w:bottom w:w="0" w:type="dxa"/>
            </w:tcMar>
            <w:vAlign w:val="center"/>
          </w:tcPr>
          <w:p>
            <w:pPr>
              <w:pStyle w:val="TableContents"/>
              <w:bidi w:val="0"/>
              <w:spacing w:before="0" w:after="0"/>
              <w:jc w:val="both"/>
              <w:rPr>
                <w:spacing w:val="4"/>
              </w:rPr>
            </w:pPr>
            <w:r>
              <w:rPr>
                <w:spacing w:val="4"/>
              </w:rPr>
              <w:t xml:space="preserve">Under the Delaware General Corporation Law, a corporation’s governing documents may be amended with the approval of a majority of the outstanding shares entitled to vote, unless the certificate of incorporation provides otherwise.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406"/>
        <w:gridCol w:w="109"/>
        <w:gridCol w:w="109"/>
        <w:gridCol w:w="4104"/>
        <w:gridCol w:w="109"/>
        <w:gridCol w:w="109"/>
        <w:gridCol w:w="258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4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04"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Cayman Islands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7" w:type="dxa"/>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Delaware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06" w:type="dxa"/>
            <w:tcBorders/>
            <w:tcMar>
              <w:bottom w:w="0" w:type="dxa"/>
            </w:tcMar>
            <w:vAlign w:val="center"/>
          </w:tcPr>
          <w:p>
            <w:pPr>
              <w:pStyle w:val="TableContents"/>
              <w:bidi w:val="0"/>
              <w:spacing w:before="0" w:after="0"/>
              <w:ind w:left="200" w:right="0" w:hanging="200"/>
              <w:jc w:val="left"/>
              <w:rPr>
                <w:b/>
                <w:i/>
              </w:rPr>
            </w:pPr>
            <w:r>
              <w:rPr>
                <w:b/>
                <w:i/>
                <w:spacing w:val="-4"/>
              </w:rPr>
              <w:t>Rights of Non-resident or Foreign Shareholders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4" w:type="dxa"/>
            <w:tcBorders/>
            <w:tcMar>
              <w:bottom w:w="0" w:type="dxa"/>
            </w:tcMar>
            <w:vAlign w:val="center"/>
          </w:tcPr>
          <w:p>
            <w:pPr>
              <w:pStyle w:val="TableContents"/>
              <w:bidi w:val="0"/>
              <w:spacing w:before="0" w:after="0"/>
              <w:jc w:val="both"/>
              <w:rPr>
                <w:spacing w:val="4"/>
              </w:rPr>
            </w:pPr>
            <w:r>
              <w:rPr>
                <w:spacing w:val="4"/>
              </w:rPr>
              <w:t xml:space="preserve">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shareholder ownership above any particular ownership threshold.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7" w:type="dxa"/>
            <w:tcBorders/>
            <w:tcMar>
              <w:bottom w:w="0" w:type="dxa"/>
            </w:tcMar>
            <w:vAlign w:val="center"/>
          </w:tcPr>
          <w:p>
            <w:pPr>
              <w:pStyle w:val="TableContents"/>
              <w:bidi w:val="0"/>
              <w:spacing w:before="0" w:after="0"/>
              <w:jc w:val="both"/>
              <w:rPr/>
            </w:pPr>
            <w:r>
              <w:rPr>
                <w:spacing w:val="4"/>
              </w:rPr>
              <w:t>Under Delaware General Corporation Law, there are no restrictions on foreign shareholders, and all the stock or membership interests in a Delaware company can be owned by non-U.S. nationals.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9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Exempted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exempted company incorporated with limited liability under the Companies Act (As Revised) of the Cayman Islands. The Companies Act (As Revised) of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file an annual return of its shareholders with the Registrar of Companies; </w:t>
      </w:r>
      <w:r>
        <mc:AlternateContent>
          <mc:Choice Requires="wps">
            <w:drawing>
              <wp:anchor behindDoc="0" distT="495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required to open its register of members for inspection; </w:t>
      </w:r>
      <w:r>
        <mc:AlternateContent>
          <mc:Choice Requires="wps">
            <w:drawing>
              <wp:anchor behindDoc="0" distT="495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have to hold an annual general meeting; </w:t>
      </w:r>
      <w:r>
        <mc:AlternateContent>
          <mc:Choice Requires="wps">
            <w:drawing>
              <wp:anchor behindDoc="0" distT="495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issue shares with no par value; </w:t>
      </w:r>
      <w:r>
        <mc:AlternateContent>
          <mc:Choice Requires="wps">
            <w:drawing>
              <wp:anchor behindDoc="0" distT="495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obtain an undertaking against the imposition of any future taxation (such undertakings are usually given for 20 years in the first instance); </w:t>
      </w:r>
      <w:r>
        <mc:AlternateContent>
          <mc:Choice Requires="wps">
            <w:drawing>
              <wp:anchor behindDoc="0" distT="495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by way of continuation in another jurisdiction and be deregistered in the Cayman Islands; </w:t>
      </w:r>
      <w:r>
        <mc:AlternateContent>
          <mc:Choice Requires="wps">
            <w:drawing>
              <wp:anchor behindDoc="0" distT="495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limited duration company; and </w:t>
      </w:r>
      <w:r>
        <mc:AlternateContent>
          <mc:Choice Requires="wps">
            <w:drawing>
              <wp:anchor behindDoc="0" distT="495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register as a segregated portfolio company. </w:t>
      </w:r>
      <w:r>
        <mc:AlternateContent>
          <mc:Choice Requires="wps">
            <w:drawing>
              <wp:anchor behindDoc="0" distT="495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Non-Resident or Foreign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limitations imposed by our Amended and Restated Memorandum and Articles of Association on the rights of non-resident or foreign shareholders to hold or exercise voting rights on Ordinary Shares. In addition, there are no provisions in the our Amended and Restated Memorandum and Articles of Association governing the ownership threshold above which shareholder ownership must be disclosed.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Civil Liability under Cayman Islands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Anti-Money Laundering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reserve the right to refuse to make any redemption payment to a shareholder if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compliance with any such laws or regulations in any applicable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Data Protection — 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certain duties under the Data Protection Act (As Revised) of the Cayman Islands (the “DPA”) based on internationally accepted principles of data privacy.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Privacy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privacy notice puts our shareholders on notice that through your investment in us you will provide us with certain personal information which constitutes personal data within the meaning of the DPA (“personal data”). In the following discussion, the “company” refers to us and our affiliates and/or delegates, except where the context requires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this Affects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We May Use a Shareholder’s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 the data controller, may collect, store and use personal data for lawful purposes, including, in particular: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performance of our rights and obligations under any purchase agreements;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compliance with a legal and regulatory obligation to which we are subject (such as compliance with anti-money laundering and FATCA/CRS requirements); and/or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is necessary for the purposes of our legitimate interests and such interests are not overridden by your interests, fundamental rights or freedoms.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wish to use personal data for other specific purposes (including, if applicable, any purpose that requires your consent), we will contact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We May Transfer Your Personal Data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regulatory authorities, including tax authorities.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disclosing personal data to persons who provide services to us and their respective affiliates (which may include certain entities located outside the United States, the Cayman Islands or the European Economic Area), who will process your personal data on our behalf.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Data Protection Measures We Take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transfer of personal data by us or our duly authorized affiliates and/or delegates outside of the Cayman Islands shall be in accordance with the requirements of the DPA. 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We shall notify you of any personal data breach that is reasonably likely to result in a risk to your interests, fundamental rights or freedoms or those data subjects to whom the relevant personal data relates.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P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Although we do not currently intend to issue any additional preferred shares, we cannot assure you that we will not do so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there are 290,000 Series A Preferred Shares issued and outstanding. The material terms of any series of preferred shares that we offer, together with any material U.S. federal income tax considerations relating to such preferred shares, will be described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preferred shares are entitled to certain rights and subject to certain conditions as set forth in our currently effective memorandum and articles of association and the Cayman Companies Act. See “Description of Our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W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our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warrants are to be issued under equity warrant agreements to be entered into between us and one or more banks or trust companies, as equity warrant agent, as will be set forth in the applicable prospectus supplement and this 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the equity warrants, the equity warrant agreements relating to the equity warrants and the equity warrant certificates representing the equity warrants will be described in the applicable prospectus supplement, including, as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equity warrants;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635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of equity warrants and the aggregate amount of equity securities purchasable upon exercise of the equity warrants; </w:t>
      </w:r>
      <w:r>
        <mc:AlternateContent>
          <mc:Choice Requires="wps">
            <w:drawing>
              <wp:anchor behindDoc="0" distT="635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635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equity securities with which the equity warrants are issued, and the amount of equity warrants issued with each equity security; </w:t>
      </w:r>
      <w:r>
        <mc:AlternateContent>
          <mc:Choice Requires="wps">
            <w:drawing>
              <wp:anchor behindDoc="0" distT="635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equity warrants and the related equity security will be separately transferable; </w:t>
      </w:r>
      <w:r>
        <mc:AlternateContent>
          <mc:Choice Requires="wps">
            <w:drawing>
              <wp:anchor behindDoc="0" distT="635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the equity warrants that may be exercised at any one time; </w:t>
      </w:r>
      <w:r>
        <mc:AlternateContent>
          <mc:Choice Requires="wps">
            <w:drawing>
              <wp:anchor behindDoc="0" distT="635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equity warrants will commence and the date on which the right will expire; </w:t>
      </w:r>
      <w:r>
        <mc:AlternateContent>
          <mc:Choice Requires="wps">
            <w:drawing>
              <wp:anchor behindDoc="0" distT="635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United States federal income tax, accounting or other considerations applicable to the equity warrants; </w:t>
      </w:r>
      <w:r>
        <mc:AlternateContent>
          <mc:Choice Requires="wps">
            <w:drawing>
              <wp:anchor behindDoc="0" distT="635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equity warrants, if any; </w:t>
      </w:r>
      <w:r>
        <mc:AlternateContent>
          <mc:Choice Requires="wps">
            <w:drawing>
              <wp:anchor behindDoc="0" distT="635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call provisions, if any, applicable to the equity warrants; and </w:t>
      </w:r>
      <w:r>
        <mc:AlternateContent>
          <mc:Choice Requires="wps">
            <w:drawing>
              <wp:anchor behindDoc="0" distT="635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equity warrants, including terms, procedures and limitations relating to the exchange and exercise of the equity warrants. </w:t>
      </w:r>
      <w:r>
        <mc:AlternateContent>
          <mc:Choice Requires="wps">
            <w:drawing>
              <wp:anchor behindDoc="0" distT="635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warrant issued by us will entitle its holder to purchase the debt securities designated at an exercise price set forth in, or to be determinable as set forth in, the related prospectus supplement. Debt warrants may be issued separately or together with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warrants are to be issued under debt warrant agreements to be entered into between us, and one or more banks or trust companies, as debt warrant agent, as will be set forth in the applicable prospectus supplement and this 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each issue of debt warrants, the debt warrant agreement relating to the debt warrants and the debt warrant certificates representing debt warrants will be described in the applicable prospectus supplement, including, as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warrants;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aggregate principal amount and terms of the debt securities purchasable upon exercise of the debt warrants;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units in which the offering price, if any, and the exercise price are payable;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terms of any related debt securities with which the debt warrants are issued and the amount of the debt warrants issued with each debt security;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debt warrants and the related debt securities will be separately transferable;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debt securities purchasable upon exercise of each debt warrant and the price at which that principal amount of debt securities may be purchased upon exercise of each debt warrant;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warrants that may be exercised at any one time;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debt warrants will commence and the date on which the right will expire;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United States federal income tax, accounting or other considerations applicable to the debt warrants;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warrants represented by the debt warrant certificates will be issued in registered or bearer form, and, if registered, where they may be transferred and registered;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debt warrants, if any;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call provisions, if any, applicable to the debt warrants; and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debt warrants, including terms, procedures and limitations relating to the exchange and exercise of the debt warrants.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Existing Warrants in relation to the Business Combination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consummation of the Business Combination, each warrants of ExcelFin outstanding immediately prior to the Effective Time ceased to be a warrant with respect to ExcelFin Common Stock and was assumed by us and converted into an Assumed Public Warrant entitling the holder thereof to purchase one Ordinary Share. Each Assumed Public Warrant otherwise continues to have and be subject to substantially the same terms and conditions as were applicable to such ExcelFin Warrant immediately prior to the consummation of the Business Combination (including any repurchase rights and cashless exercise provisions), as set forth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whole public warrant entitles the registered holder to purchase one share of our Ordinary Share at a price of US$11.50 per share, subject to adjustment as discussed below. Pursuant to the public warrant agreement, a public warrant holder may exercise public warrants only for a whole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means only a whole public warrant may be exercised at a given time by a public warrant holder. No fractional public warrants will be issued upon separation of the units and only whole public warrants will trade. The public warrants will expire five years after the completion of the Business Combination, at 5:00 p.m., New York City time, or earlier upon redemption or liquidation.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public warrant exercise unless a registration statement under the Securities Act covering the issuance of the Ordinary Shares issuable upon exercise of the public warrants is then effective and a current prospectus relating to those Ordinary Shares is available,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Ordinary Share underlying such unit.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as soon as practicable, but in no event later than 20 business days after the closing of the Business Combination, we will use our reasonable best efforts to file with the SEC, and within 60 business days following the Business Combination to have declared effective, a registration statement covering the issuance of the shares of Ordinary Shares issuable upon exercise of the public warrants and to maintain a current prospectus relating to those Ordinary Shares until the public warrants expire or are redeemed. Notwithstanding the above, if our Ordinary Shares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any action, proceeding or claim against us arising out of or relating in any way to the public warrant agreement will be brought and enforced in the courts of the City of New York, County of New York, State of New York, the United States District Court for the Southern District of New York or the federal district courts of the United States, and we irrevocably submit to such jurisdiction, which jurisdiction will be the exclusive forum for any such action, proceeding or claim. However, the enforceability of similar exclusive forum provisions (including exclusive forum provisions for actions, suits or proceedings asserting a cause of action arising under the Securities Act or the Exchange Act) in other companies’ organizational documents has been challenged in legal proceeds, and there is uncertainty as to whether courts would enforce the exclusive forum provisions in our public warrant agreement. Notwithstanding the foregoing, these provisions of the public warrant agreement will not apply to suits brought to enforce any liability or duty created by the Securities Act, Exchange Act or any other claim for which the federal district courts of the United States of America shall be the sole and exclusive forum. Any person or entity purchasing or otherwise acquiring any interest in any of our warrants shall be deemed to have notice of and to have consented to the forum provisions in our warrant agreements. Additionally, our stockholders cannot waive compliance with the federal securities laws and the rules and regulations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of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public warrants become exercisable, we may call the public warrants for redemption: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US$0.01 per public warrant;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minimum of 30 days’ prior written notice of redemption, or the 30-day redemption period, to each public warrant holder;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last reported sale price of the Ordinary Shares has been at least US$18.00 per share (as adjusted for stock splits, stock dividends, reorganizations, recapitalizations and the like) for any ten (10) trading days within the twenty (20) trading-day period ending on the third (3rd) trading day prior to the date on which the notice of redemption is given to the public warrant holders. </w:t>
      </w:r>
      <w:r>
        <mc:AlternateContent>
          <mc:Choice Requires="wps">
            <w:drawing>
              <wp:anchor behindDoc="0" distT="0" distB="0" distL="254000" distR="0" simplePos="0" locked="0" layoutInCell="1" allowOverlap="1" relativeHeight="131">
                <wp:simplePos x="0" y="0"/>
                <wp:positionH relativeFrom="column">
                  <wp:align>left</wp:align>
                </wp:positionH>
                <wp:positionV relativeFrom="line">
                  <wp:posOffset>635</wp:posOffset>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when the public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Ordinary Shares may fall below the US$18.00 redemption trigger price as well as the US$11.50 public warrant exercise price after the redemption notice is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and Cashless Exercise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call the public warrants for redemption as described above, our management will have the option to require all holders that wish to exercise public warrants to do so on a “cashless basis.” In determining whether to require all holders to exercise their warrants on a “cashless basis,” our management will consider, among other factors, our cash position, the number of public warrants that are outstanding and the dilutive effect on our shareholders of issuing the maximum number of Ordinary Shares issuable upon the exercise of our warrants. In such event, each holder would pay the exercise price by surrendering the public warrants for that number of Ordinary Shares equal to the quotient obtained by dividing (x) the product of the number of Ordinary Shares underlying the public warrants, multiplied by the excess of the “fair market value”(as defined below) of the Ordinary Shares over the exercise price of the public warrants by (y) the “fair market value.” For purposes of this paragraph, the “fair market value” means the volume-weighted last reported price of the Ordinary Shares as reported for the ten (10) trading days ending on the third (3rd) trading day prior to the date on which the notice of redemption is sent to the holder of the public warrants or its securities broker or intermediary, pursuant to the public warrant agreement. If our management takes advantage of this option, the notice of redemption will contain the information necessary to calculate the number of Ordinary Shares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outstanding immediately after giving effect to such exercise.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Anti-Dilution Adjustments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Ordinary Shares is increased by a stock dividend payable in the Ordinary Shares, or by a split-up of shares of Ordinary Shares or other similar event, then, on the effective date of such stock dividend, split-up or similar event, the number of Ordinary Shares issuable on exercise of each public warrant will be increased in proportion to such increase in the outstanding Ordinary Shares. A rights offering to holders of Ordinary Shares entitling holders to purchase Ordinary Shares at a price less than the “historical fair market value” ​(as defined below) will be deemed a stock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share of Ordinary Shares paid in such rights offering divided by (y) the historical fair market value. For these purposes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For purposes of this paragraph, “historical fair market value” means the volume-weighted average price of the Ordinary Shares during the ten trading day period ending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no shares of Ordinary Shares shall be issued at less than their par value.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public warrants are outstanding and unexpired, pay a dividend or make a distribution in cash, securities or other assets to the holders of Ordinary Shares on account of such shares of Ordinary Shares (or other shares of our capital stock into which the public warrants are convertible), other than (a) as described above, (b) certain ordinary cash dividends, then the exercise price of a public warrant will be decreased, effective immediately after the effective date of such event, by the amount of cash and/or the fair market value of any securities or other assets paid on each share of Ordinary Shares in respect of such event.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outstanding shares of our Ordinary Shares is decreased by a consolidation, combination, reverse stock split or reclassification of shares of Ordinary Shares or other similar event, then, on the effective date of such consolidation, combination, reverse stock split, reclassification or similar event, the number of Ordinary Shares issuable on exercise of each public warrant will be decreased in proportion to such decrease in outstanding Ordinary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Ordinary Shares purchasable upon the exercise of the public warrants immediately prior to such adjustment and (y) the denominator of which will be the number of Ordinary Shares so purchasable immediately thereafter.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(x) we issue additional Ordinary Shares or equity-linked securities for capital raising purposes in connection with the closing of the Business Combination at a newly issued price of less than US$9.20 per Ordinary Share (with such newly issued price to be determined in good faith by our board of directors), (y) the aggregate gross proceeds from such issuances represent more than 60% of the total equity proceeds, and interest thereon, available for the funding of the Business Combination on the date of the consummation of the Business Combination (net of redemptions), and (z) the volume weighted average trading price of Ordinary Shares during the 20 trading day period starting on the trading day prior to the day on which we consummate the Business Combination is below US$9.20 per share, then the exercise price of the public warrants will be adjusted (to the nearest cent) to be equal to 115% of the greater of the volume weighted average trading price of Ordinary Shares during the 20 trading day period starting on the trading day prior to the day on which we consummate the Business Combination and the newly issued price and the US$18.00 per share redemption trigger price described under “Redemption of public warrants” above will be adjusted (to the nearest cent) to be equal to 180% of the greater of the volume weighted average trading price of Ordinary Shares during the 20 trading day period starting on the trading day prior to the day on which we consummate the Business Combination and the newly issued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Ordinary Shares in such a transaction is payable in the form of common stock in the successor entity that is listed for trading on a national securities exchange or is quoted in an established over-the-counter market,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to be so listed for trading or quoted immediately following such event, and if the registered holder of the public warrant properly exercises the public warrant within 30 days following public disclosure of such transaction, the public warrant exercise price will be reduced as specified in the public warrant agreement based on the per share consideration minus Black-Scholes Warrant Value (as defined in the public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 in order to determine and realize the option value component of the warrant. This formula is to compensate the public warrant holder for the loss of the option value portion of the public warrant due to the requirement that the public warrant holder exercise the public warrant within 30 days of the event. The Black-Scholes model is an accepted pricing model for estimating fair market value where no quoted market price for an instrument is available.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have been issued in registered form under the public warrant agreement between American Stock Transfer &amp; Trust Company, LLC, as warrant agent, and us. The public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modification or amendment, including any modification or amendment to increase the exercise price of the public warrants or shorten the exercise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Ordinary Shares and any voting rights until they exercise their public warrants and receive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DS"/>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aggregate principal amount) at which we will sell the debt securities;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we will repay the principal on the debt securities and the right, if any, to extend the maturity of the debt securities;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premium, and interest on the debt securities will be payable, and where the debt securities of the series that are convertible or exchangeable may be surrendered for conversion or exchange;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or right we have to redeem the debt securities pursuant to any sinking fund or analogous provisions or at the option of holders of the debt securities or at our option, and the terms and conditions upon which we are obligated to or may redeem the debt securities;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repurchase the debt securities at the option of the holders of debt securities, the dates on which and the price or prices at which we will repurchase the debt securities and other detailed terms and provisions of these repurchase obligations;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certificated debt securities or global debt securities;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principal amount;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premium and interest on the debt securities will be made;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described in the indenture with respect to the debt securities and any change in the acceleration provisions described in the indenture with respect to the debt securities;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described in the indenture with respect to the debt securities;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or subordinated and any applicable subordination provisions;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material income tax considerations applicable to the debt securities;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any provisions of the indenture as it applies to that series; and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unless we otherwise specify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U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composed of any combination of our ordinary shares, preferred shares,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information incorporated by reference or free writing prospectus may describe: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composing the units;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and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units.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applicable provisions described in this section, as well as those described under “Description of Our Securities,” “Description of Preferred Shares,” “Description of Debt Securities” and “Description of Warrants” above, will apply to each unit and to each security included in each unit,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or distribute the securities offered by this prospectus, from time to time, in one or more offerings,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dealers or underwriters for resale;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“at-the-market offerings,” within the meaning of Rule 415(a)(4) of the Securities Act, to or through a market maker or into an existing trading market, on an exchange or otherwise; or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with respect to the securities may state or supplement the terms of the offering of the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securities distributed by any of these methods may be sold to the public, in one or more transactions, either: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prevailing market prices; or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offering will identify or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of the offering;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dealers or agents;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agency fees or underwriting discounts and other items constituting agents’ or underwriters’ compensation;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over-allotment options under which underwriters may purchase additional securities from us;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 on which the securities will be listed.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the respective amount of securities underwritten, the nature of the obligation of the underwriters to take the securities and the nature of any material relationship between an underwriter and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designate agents who agree to use their reasonable efforts to solicit purchases for the period of their appointment or to sell securities on a continuing basis.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or any free writing prospectus, each class or series of securities offered will be a new issue with no established trading market, other than our Ordinary Shares and our Warrants to purchase Ordinary Shares, which are listed on the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to cover these short sales positions or to otherwise stabilize or maintain the price of the securities, the underwriters may bid for or purchase securities in the open market and may impose penalty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or otherwise and, if commenced, may be discontinued at any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TAX"/>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Material income tax consequences relating to the purchase, ownership, and disposition of the securities offered by this prospectus are set forth in “Item 10. Additional Information — E. Taxation” in our 2025 20-F, which is incorporated by reference herein, as updated by our subsequent filings under the Exchange Act that are incorporated by reference and, if applicable, in any accompanying prospectus supplement or relevant free writing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OCL"/>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ENFORCEABILITY OF CIVIL LIABILITIES AND AGENT FOR SERVICE OF PROCESS IN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Cayman Islands to take advantage of certain benefits associated with being a Cayman Islands exempted company: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 economic stability;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effective judicial system;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favorable tax system;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exchange control or currency restrictions; and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professional and support services.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certain disadvantages accompany incorporation in the Cayman Islands. These disadvantages include, but are not limited to,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has a less exhaustive body of securities laws than the United States and these securities laws provide significantly less protection to investors; and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Cayman Islands companies may not have standing to sue before the federal courts of the United States.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constitutional documents do not contain provisions requiring that disputes, including those arising under the securities laws of the United States, between us, our officers, directors and shareholders, be arbitrated.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appointed Puglisi &amp; Associates as our agent upon whom process may be served in any action brought against us under the securities laws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the Cayman Islands would (1) recognize and enforce judgments of courts of the United States obtained against us or our directors or officers that are predicated upon the civil liability provision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is no statutory recognition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A Cayman Islands court may stay enforcement proceedings if concurrent proceedings are being brought elsewhere.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uncertainty as to whether the courts of China would: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or enforce judgments of United States courts obtained against us or our directors or officers predicated upon the civil liability provisions of the securities laws of the United States or any state in the United States; or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entertain original actions brought in each respective jurisdiction against us or our directors or officers predicated upon the securities laws of the United States or any state in the United States.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and enforcement of foreign judgments are provided for under the PRC Civil Procedures Law. PRC courts may recognize and enforce foreign judgments in accordance with the requirements of the PRC Civil Procedures Law based either on treaties between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it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Holdco in the PRC for disputes relating to contracts or other property interests if they can establish sufficient connection to the PRC for a PRC court to have jurisdiction and meet other procedural requirements. The PRC court will determine whether to accept the complaint in accordance with the PRC Civil Procedures Law. In addition, it will be difficult for U.S. shareholders to originate actions against us in China in accordance with PRC laws because we are incorporated under the laws of the Cayman Islands and it will be difficult for U.S. shareholders, by virtue only of holding the Ordinary Shares, to establish a connection to the PRC for a PRC court to have jurisdiction as required under the PRC Civil Procedures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ERT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aggregate expenses to be paid by us in connection with this offering. With the exception of the SEC Registration Fee, all amounts are estimates. </w:t>
      </w:r>
    </w:p>
    <w:tbl>
      <w:tblPr>
        <w:tblW w:w="5084" w:type="dxa"/>
        <w:jc w:val="left"/>
        <w:tblInd w:w="1393" w:type="dxa"/>
        <w:tblLayout w:type="fixed"/>
        <w:tblCellMar>
          <w:top w:w="0" w:type="dxa"/>
          <w:left w:w="0" w:type="dxa"/>
          <w:bottom w:w="0" w:type="dxa"/>
          <w:right w:w="0" w:type="dxa"/>
        </w:tblCellMar>
      </w:tblPr>
      <w:tblGrid>
        <w:gridCol w:w="124"/>
        <w:gridCol w:w="3378"/>
        <w:gridCol w:w="109"/>
        <w:gridCol w:w="109"/>
        <w:gridCol w:w="109"/>
        <w:gridCol w:w="226"/>
        <w:gridCol w:w="7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6,905</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Accountants’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37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costs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b/>
              </w:rPr>
            </w:pPr>
            <w:r>
              <w:rPr>
                <w:b/>
                <w:spacing w:val="-4"/>
              </w:rPr>
              <w:t>Total</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They will be provided by a prospectus supplement or as an exhibit to a Form 6-K that is incorporated by reference into this registration statement. </w:t>
      </w:r>
      <w:r>
        <mc:AlternateContent>
          <mc:Choice Requires="wps">
            <w:drawing>
              <wp:anchor behindDoc="0" distT="10160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LEM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being represented by Baker &amp; McKenzie LLP with respect to certain legal matters as to United States federal securities and New York State law, and by Conyers Dill &amp; Pearman with respect to certain legal matters as to Cayman Islands law. Baker &amp; McKenzie LLP may rely upon Conyers Dill &amp; Pearman with respect to matters governed by Cayman Islands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X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Baird Medical Investment Holdings Limited as of December 31, 2025 and 2024, and for each of the three years in the period ended December 31, 2025, incorporated in this registration statement by reference to the Annual Report on Form 20-F for the year ended December 31, 2025, as amended by Amendment No. 1 on Form 20-F/A filed with the SEC on July 27, 2026, have been in reliance upon the report of Guangdong Prouden CPAs GP, an independent registered public accounting firm, and 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information filed with the SEC can be obtained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can request copies of these documents, upon payment of a duplicating fee, by writing to the SEC. Please call the SEC at 1-800-SEC-0330 or visit the SEC website for further information. We also maintain a website at www.bairdmed.com, but information on our website, however, is not, and should not be deemed to be, a part of this prospectus or any prospectus supplement. You should not regard any information on our website as a part of this prospectus or any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Amended and Restated Memorandum and Articles of Association provide for indemnification of our officers and directors against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person in defending (whether successfully or otherwise) any civil proceedings concerning us or our affairs in any court whether in the Cayman Islands or elsewhere.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indemnification agreement, we will agree to indemnify each such person and hold him harmless against expenses, judgments, fines and amounts payable under settlement agreements in connection with any threatened, pending or completed action, suit or proceeding to which he has been made a party or in which he became involved by reason of the fact that he is or was our director or officer. Except with respect to expenses to be reimbursed by us in the event that the indemnified person has been successful on the merits or otherwise in defense of the action, suit or proceeding, our obligations under the indemnification agreements are subject to certain customary restrictions and exceptions.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maintain standard policies of insurance under which coverage is provided to our directors and officers against loss rising from claims made by reason of breach of duty or other wrongful act, and to us with respect to payments which may be made by us to such directors and officers pursuant to the above indemnification provision or otherwise as a matter of law.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Exhibit Index beginning on page II-3 of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3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87630" distB="0" distL="25400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87630" distB="0" distL="508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9pt;mso-wrap-distance-bottom:0pt;margin-top:6.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r>
        <mc:AlternateContent>
          <mc:Choice Requires="wps">
            <w:drawing>
              <wp:anchor behindDoc="0" distT="87630" distB="0" distL="50800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9pt;mso-wrap-distance-bottom:0pt;margin-top:6.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0" distB="0" distL="508000" distR="0" simplePos="0" locked="0" layoutInCell="1" allowOverlap="1" relativeHeight="190">
                <wp:simplePos x="0" y="0"/>
                <wp:positionH relativeFrom="column">
                  <wp:align>left</wp:align>
                </wp:positionH>
                <wp:positionV relativeFrom="line">
                  <wp:posOffset>635</wp:posOffset>
                </wp:positionV>
                <wp:extent cx="254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86360" distB="0" distL="25400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86360" distB="0" distL="25400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w:t>
      </w:r>
      <w:r>
        <mc:AlternateContent>
          <mc:Choice Requires="wps">
            <w:drawing>
              <wp:anchor behindDoc="0" distT="86360" distB="0" distL="25400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lineRule="atLeast" w:line="23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undertakes that every prospectus: (1) that is filed pursuant to the immediately preceding paragraph, or (2)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901"/>
        <w:gridCol w:w="109"/>
        <w:gridCol w:w="109"/>
        <w:gridCol w:w="7538"/>
        <w:gridCol w:w="155"/>
      </w:tblGrid>
      <w:tr>
        <w:trPr/>
        <w:tc>
          <w:tcPr>
            <w:tcW w:w="901" w:type="dxa"/>
            <w:tcBorders>
              <w:bottom w:val="single" w:sz="2" w:space="0" w:color="000000"/>
            </w:tcBorders>
            <w:vAlign w:val="center"/>
          </w:tcPr>
          <w:p>
            <w:pPr>
              <w:pStyle w:val="TableContents"/>
              <w:bidi w:val="0"/>
              <w:spacing w:before="0" w:after="283"/>
              <w:jc w:val="left"/>
              <w:rPr/>
            </w:pPr>
            <w:r>
              <w:rPr>
                <w:spacing w:val="-3"/>
              </w:rPr>
              <w:t>Exhibit</w:t>
            </w:r>
            <w:r>
              <w:rPr/>
              <w:t xml:space="preserve"> </w:t>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38"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2.1*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5">
              <w:r>
                <w:rPr>
                  <w:rStyle w:val="InternetLink"/>
                  <w:spacing w:val="4"/>
                </w:rPr>
                <w:t>Amended and Restated Memorandum and Articles of Association of Baird Medical Investment Holdings Limited, as currently in effect (incorporated by reference to Exhibit 1.1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6">
              <w:r>
                <w:rPr>
                  <w:rStyle w:val="InternetLink"/>
                  <w:spacing w:val="4"/>
                </w:rPr>
                <w:t>Specimen Ordinary Share Certificate of Baird Medical Investment Holdings Limited (incorporated by reference to Exhibit 2.1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7">
              <w:r>
                <w:rPr>
                  <w:rStyle w:val="InternetLink"/>
                  <w:spacing w:val="4"/>
                </w:rPr>
                <w:t>Specimen Warrant Certificate of Baird Medical Investment Holdings Limited (incorporated by reference to Exhibit 2.2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8">
              <w:r>
                <w:rPr>
                  <w:rStyle w:val="InternetLink"/>
                  <w:spacing w:val="4"/>
                </w:rPr>
                <w:t>Warrant Agreement, dated October 20, 2021, by and between ExcelFin Acquisition Corp. and American Stock Transfer &amp; Trust Company, as warrant agent (incorporated by reference to Exhibit 4.1 to Baird Medical Investment Holdings Limited’s Registration Statement on Form F-4, filed with the SEC on August 26,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9">
              <w:r>
                <w:rPr>
                  <w:rStyle w:val="InternetLink"/>
                  <w:spacing w:val="4"/>
                </w:rPr>
                <w:t>Warrant Assignment, Assumption and Amendment Agreement, dated October 1, 2024, by and among ExcelFin Acquisition Corp., Baird Medical Investment Holdings Limited and American Stock Transfer &amp; Trust Company, LLC, in its capacity as Warrant Agent (incorporated by reference to Exhibit 4.7 to the Shell Company Report on Form 20-F filed with the SEC on October 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r>
              <w:rPr>
                <w:spacing w:val="4"/>
              </w:rPr>
              <w:t>Specimen Preferred Share Certificate and Form of Certificate of Designations of Preferred Shares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10">
              <w:r>
                <w:rPr>
                  <w:rStyle w:val="InternetLink"/>
                  <w:spacing w:val="4"/>
                </w:rPr>
                <w:t>Form of Indenture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r>
              <w:rPr>
                <w:spacing w:val="4"/>
              </w:rPr>
              <w:t>Form of Debt Security</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283"/>
              <w:jc w:val="left"/>
              <w:rPr/>
            </w:pPr>
            <w:r>
              <w:rPr>
                <w:spacing w:val="4"/>
              </w:rPr>
              <w:t>Form of Warrant Agreement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11">
              <w:r>
                <w:rPr>
                  <w:rStyle w:val="InternetLink"/>
                  <w:spacing w:val="4"/>
                </w:rPr>
                <w:t>Opinion of Conyers Dill &amp; Pearman as to the validity of the Ordinary Shares of Baird Medical Investment Holdings Limited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ind w:left="100" w:right="0" w:hanging="0"/>
              <w:jc w:val="left"/>
              <w:rPr/>
            </w:pPr>
            <w:r>
              <w:rPr>
                <w:spacing w:val="4"/>
              </w:rPr>
              <w:t>5.2*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hyperlink r:id="rId12">
              <w:r>
                <w:rPr>
                  <w:rStyle w:val="InternetLink"/>
                  <w:spacing w:val="4"/>
                </w:rPr>
                <w:t>Opinion of Baker &amp; McKenzie LLP as to the validity of certain securities of Baird Medical Investment Holdings Limited to be issued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w:anchor="tm2621907d3_ex23-1.htm">
              <w:r>
                <w:rPr>
                  <w:rStyle w:val="InternetLink"/>
                  <w:spacing w:val="4"/>
                </w:rPr>
                <w:t>Consent of Guangdong Prouden CPAs GP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13">
              <w:r>
                <w:rPr>
                  <w:rStyle w:val="InternetLink"/>
                  <w:spacing w:val="4"/>
                </w:rPr>
                <w:t>Consent of Conyers Dill &amp; Pearman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23.5*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14">
              <w:r>
                <w:rPr>
                  <w:rStyle w:val="InternetLink"/>
                  <w:spacing w:val="4"/>
                </w:rPr>
                <w:t>Consent of Baker &amp; McKenzie LLP (included in Exhibit 5.2)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25.1***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both"/>
              <w:rPr/>
            </w:pPr>
            <w:r>
              <w:rPr>
                <w:spacing w:val="4"/>
              </w:rPr>
              <w:t>Form T-1 Statement of Eligibility and Qualification under the Trust Indenture Act of 1939, as amended, of the Trustee under the Indenture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01" w:type="dxa"/>
            <w:tcBorders/>
            <w:tcMar>
              <w:bottom w:w="0" w:type="dxa"/>
            </w:tcMar>
            <w:vAlign w:val="center"/>
          </w:tcPr>
          <w:p>
            <w:pPr>
              <w:pStyle w:val="TableContents"/>
              <w:bidi w:val="0"/>
              <w:spacing w:before="0" w:after="283"/>
              <w:jc w:val="left"/>
              <w:rPr/>
            </w:pPr>
            <w:r>
              <w:rPr>
                <w:spacing w:val="4"/>
              </w:rPr>
              <w:t> </w:t>
            </w: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8" w:type="dxa"/>
            <w:tcBorders/>
            <w:tcMar>
              <w:bottom w:w="0" w:type="dxa"/>
            </w:tcMar>
            <w:vAlign w:val="center"/>
          </w:tcPr>
          <w:p>
            <w:pPr>
              <w:pStyle w:val="TableContents"/>
              <w:bidi w:val="0"/>
              <w:spacing w:before="0" w:after="0"/>
              <w:jc w:val="left"/>
              <w:rPr/>
            </w:pPr>
            <w:hyperlink r:id="rId15">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101600" distB="0" distL="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filed as an exhibit to a post-effective amendment to this registration statement or as an exhibit to a report filed under the Exchange Act and incorporated herein by reference.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filed pursuant to Section 305(b)(2) of the Trust Indenture Act of 1939, as amended.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00">
                <wp:simplePos x="0" y="0"/>
                <wp:positionH relativeFrom="column">
                  <wp:align>left</wp:align>
                </wp:positionH>
                <wp:positionV relativeFrom="line">
                  <wp:align>top</wp:align>
                </wp:positionV>
                <wp:extent cx="254000" cy="525780"/>
                <wp:effectExtent l="0" t="0" r="0" b="0"/>
                <wp:wrapSquare wrapText="right"/>
                <wp:docPr id="198" name="Frame1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Guangzhou, People’s Republic of China, on August 6, 2026.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Baird Medical investment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Haimei Wu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201">
                <wp:simplePos x="0" y="0"/>
                <wp:positionH relativeFrom="column">
                  <wp:align>left</wp:align>
                </wp:positionH>
                <wp:positionV relativeFrom="line">
                  <wp:align>top</wp:align>
                </wp:positionV>
                <wp:extent cx="254000" cy="525780"/>
                <wp:effectExtent l="0" t="0" r="0" b="0"/>
                <wp:wrapSquare wrapText="right"/>
                <wp:docPr id="199" name="Frame1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Haimei Wu </w:t>
      </w:r>
      <w:r>
        <mc:AlternateContent>
          <mc:Choice Requires="wps">
            <w:drawing>
              <wp:anchor behindDoc="0" distT="50800" distB="0" distL="254000" distR="0" simplePos="0" locked="0" layoutInCell="1" allowOverlap="1" relativeHeight="202">
                <wp:simplePos x="0" y="0"/>
                <wp:positionH relativeFrom="column">
                  <wp:align>left</wp:align>
                </wp:positionH>
                <wp:positionV relativeFrom="line">
                  <wp:align>top</wp:align>
                </wp:positionV>
                <wp:extent cx="406400" cy="525780"/>
                <wp:effectExtent l="0" t="0" r="0" b="0"/>
                <wp:wrapSquare wrapText="right"/>
                <wp:docPr id="200" name="Frame19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(principal executive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0" distB="0" distL="254000" distR="0" simplePos="0" locked="0" layoutInCell="1" allowOverlap="1" relativeHeight="203">
                <wp:simplePos x="0" y="0"/>
                <wp:positionH relativeFrom="column">
                  <wp:align>left</wp:align>
                </wp:positionH>
                <wp:positionV relativeFrom="line">
                  <wp:align>top</wp:align>
                </wp:positionV>
                <wp:extent cx="4064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2pt;mso-wrap-distance-bottom:0pt;margin-top:2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on August 6, 2026. </w:t>
      </w:r>
    </w:p>
    <w:tbl>
      <w:tblPr>
        <w:tblW w:w="7782" w:type="dxa"/>
        <w:jc w:val="left"/>
        <w:tblInd w:w="1393" w:type="dxa"/>
        <w:tblLayout w:type="fixed"/>
        <w:tblCellMar>
          <w:top w:w="0" w:type="dxa"/>
          <w:left w:w="0" w:type="dxa"/>
          <w:bottom w:w="28" w:type="dxa"/>
          <w:right w:w="0" w:type="dxa"/>
        </w:tblCellMar>
      </w:tblPr>
      <w:tblGrid>
        <w:gridCol w:w="124"/>
        <w:gridCol w:w="2694"/>
        <w:gridCol w:w="109"/>
        <w:gridCol w:w="109"/>
        <w:gridCol w:w="459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9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spacing w:val="4"/>
              </w:rPr>
            </w:pPr>
            <w:r>
              <w:rPr>
                <w:spacing w:val="4"/>
              </w:rPr>
              <w:t xml:space="preserve">/s/ Haimei Wu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Haimei Wu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pPr>
            <w:r>
              <w:rPr>
                <w:spacing w:val="4"/>
              </w:rPr>
              <w:t>Director and Chief Executive Officer</w:t>
            </w:r>
            <w:r>
              <w:rPr/>
              <w:t xml:space="preserve"> </w:t>
              <w:br/>
            </w:r>
            <w:r>
              <w:rPr>
                <w:i/>
                <w:spacing w:val="4"/>
              </w:rPr>
              <w:t>(Principal Executive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Jie 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pPr>
            <w:r>
              <w:rPr>
                <w:spacing w:val="4"/>
              </w:rPr>
              <w:t>Acting Chief Financial Officer</w:t>
            </w:r>
            <w:r>
              <w:rPr/>
              <w:t xml:space="preserve"> </w:t>
              <w:br/>
            </w:r>
            <w:r>
              <w:rPr>
                <w:i/>
                <w:spacing w:val="4"/>
              </w:rPr>
              <w:t>(Principal Financial and Accounting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Wei Hou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Quan Qiu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Joseph Douglas Ragan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Mingzhao Xing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Lijian Xu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Gabrielle Bilciu-Wolfson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0"/>
              <w:jc w:val="center"/>
              <w:rPr>
                <w:spacing w:val="4"/>
              </w:rPr>
            </w:pPr>
            <w:r>
              <w:rPr>
                <w:spacing w:val="4"/>
              </w:rPr>
              <w:t xml:space="preserve">Independent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4" w:type="dxa"/>
            <w:tcBorders/>
            <w:tcMar>
              <w:bottom w:w="0" w:type="dxa"/>
            </w:tcMar>
            <w:vAlign w:val="center"/>
          </w:tcPr>
          <w:p>
            <w:pPr>
              <w:pStyle w:val="TableContents"/>
              <w:bidi w:val="0"/>
              <w:spacing w:before="0" w:after="0"/>
              <w:jc w:val="left"/>
              <w:rPr/>
            </w:pPr>
            <w:r>
              <w:rPr>
                <w:spacing w:val="4"/>
              </w:rPr>
              <w:t>*By:  /s/ Haimei Wu</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80" w:after="283"/>
              <w:jc w:val="left"/>
              <w:rPr/>
            </w:pPr>
            <w:r>
              <w:rPr>
                <w:spacing w:val="4"/>
              </w:rPr>
              <w:t>      </w:t>
            </w:r>
            <w:r>
              <w:rPr>
                <w:spacing w:val="4"/>
              </w:rPr>
              <w:t xml:space="preserve">Name: Haimei Wu </w:t>
            </w:r>
            <w:r>
              <w:rPr/>
              <w:br/>
            </w:r>
            <w:r>
              <w:rPr>
                <w:spacing w:val="4"/>
              </w:rPr>
              <w:t>      Attorney-in-fact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92"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REPRESENTATIVE IN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Securities Act of 1933, as amended, the undersigned, the duly authorized representative in the United States of Baird Medical Investment Holdings Limited, has signed this registration statement or amendment thereto in Newark, Delaware on August 6, 2026.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U.S. Representative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Donald J. Puglisi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204">
                <wp:simplePos x="0" y="0"/>
                <wp:positionH relativeFrom="column">
                  <wp:align>left</wp:align>
                </wp:positionH>
                <wp:positionV relativeFrom="line">
                  <wp:align>top</wp:align>
                </wp:positionV>
                <wp:extent cx="254000" cy="525780"/>
                <wp:effectExtent l="0" t="0" r="0" b="0"/>
                <wp:wrapSquare wrapText="right"/>
                <wp:docPr id="202" name="Frame2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Donald J. Puglisi </w:t>
      </w:r>
      <w:r>
        <mc:AlternateContent>
          <mc:Choice Requires="wps">
            <w:drawing>
              <wp:anchor behindDoc="0" distT="50800" distB="0" distL="254000" distR="0" simplePos="0" locked="0" layoutInCell="1" allowOverlap="1" relativeHeight="205">
                <wp:simplePos x="0" y="0"/>
                <wp:positionH relativeFrom="column">
                  <wp:align>left</wp:align>
                </wp:positionH>
                <wp:positionV relativeFrom="line">
                  <wp:align>top</wp:align>
                </wp:positionV>
                <wp:extent cx="406400" cy="525780"/>
                <wp:effectExtent l="0" t="0" r="0" b="0"/>
                <wp:wrapSquare wrapText="right"/>
                <wp:docPr id="203" name="Frame20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Managing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254000" distR="0" simplePos="0" locked="0" layoutInCell="1" allowOverlap="1" relativeHeight="206">
                <wp:simplePos x="0" y="0"/>
                <wp:positionH relativeFrom="column">
                  <wp:align>left</wp:align>
                </wp:positionH>
                <wp:positionV relativeFrom="line">
                  <wp:align>top</wp:align>
                </wp:positionV>
                <wp:extent cx="4064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2pt;mso-wrap-distance-bottom:0pt;margin-top:2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2" w:name="tm2621907d3_ex23-1.htm"/>
      <w:bookmarkStart w:id="23" w:name="kstm2621907d3_ex231"/>
      <w:bookmarkEnd w:id="22"/>
      <w:bookmarkEnd w:id="23"/>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jc w:val="right"/>
        <w:rPr/>
      </w:pPr>
      <w:r>
        <w:rPr/>
        <w:t> </w:t>
      </w:r>
      <w:r>
        <w:rPr/>
        <w:drawing>
          <wp:inline distT="0" distB="0" distL="0" distR="0">
            <wp:extent cx="2247900" cy="381000"/>
            <wp:effectExtent l="0" t="0" r="0" b="0"/>
            <wp:docPr id="2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 descr=""/>
                    <pic:cNvPicPr>
                      <a:picLocks noChangeAspect="1" noChangeArrowheads="1"/>
                    </pic:cNvPicPr>
                  </pic:nvPicPr>
                  <pic:blipFill>
                    <a:blip r:embed="rId16"/>
                    <a:stretch>
                      <a:fillRect/>
                    </a:stretch>
                  </pic:blipFill>
                  <pic:spPr bwMode="auto">
                    <a:xfrm>
                      <a:off x="0" y="0"/>
                      <a:ext cx="2247900" cy="381000"/>
                    </a:xfrm>
                    <a:prstGeom prst="rect">
                      <a:avLst/>
                    </a:prstGeom>
                  </pic:spPr>
                </pic:pic>
              </a:graphicData>
            </a:graphic>
          </wp:inline>
        </w:drawing>
      </w:r>
    </w:p>
    <w:p>
      <w:pPr>
        <w:pStyle w:val="TextBody"/>
        <w:bidi w:val="0"/>
        <w:spacing w:before="0" w:after="0"/>
        <w:ind w:left="0" w:right="0" w:hanging="0"/>
        <w:jc w:val="right"/>
        <w:rPr>
          <w:caps w:val="false"/>
          <w:smallCaps w:val="false"/>
        </w:rPr>
      </w:pPr>
      <w:r>
        <w:rPr>
          <w:rFonts w:eastAsia="Times New Roman;Times;Serif"/>
          <w:b w:val="false"/>
          <w:i w:val="false"/>
          <w:caps w:val="false"/>
          <w:smallCaps w:val="false"/>
          <w:sz w:val="20"/>
        </w:rPr>
        <w:t xml:space="preserve">广东宝臻会计师事务所 </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普通合伙</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 2201, GDH Bay City Centre,</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Zhujiang West Rd., Guangzhou</w:t>
      </w:r>
    </w:p>
    <w:p>
      <w:pPr>
        <w:pStyle w:val="TextBody"/>
        <w:bidi w:val="0"/>
        <w:spacing w:before="0" w:after="0"/>
        <w:ind w:left="0" w:right="0" w:hanging="0"/>
        <w:jc w:val="right"/>
        <w:rPr>
          <w:caps w:val="false"/>
          <w:smallCaps w:val="false"/>
        </w:rPr>
      </w:pPr>
      <w:r>
        <w:rPr>
          <w:rFonts w:eastAsia="Times New Roman;Times;Serif"/>
          <w:b w:val="false"/>
          <w:i w:val="false"/>
          <w:caps w:val="false"/>
          <w:smallCaps w:val="false"/>
          <w:sz w:val="20"/>
        </w:rPr>
        <w:t xml:space="preserve">广州市天河区珠江西路 </w:t>
      </w:r>
      <w:r>
        <w:rPr>
          <w:rFonts w:ascii="Times New Roman;Times;Serif" w:hAnsi="Times New Roman;Times;Serif"/>
          <w:b w:val="false"/>
          <w:i w:val="false"/>
          <w:caps w:val="false"/>
          <w:smallCaps w:val="false"/>
          <w:sz w:val="20"/>
        </w:rPr>
        <w:t xml:space="preserve">21 </w:t>
      </w:r>
      <w:r>
        <w:rPr>
          <w:rFonts w:eastAsia="Times New Roman;Times;Serif"/>
          <w:b w:val="false"/>
          <w:i w:val="false"/>
          <w:caps w:val="false"/>
          <w:smallCaps w:val="false"/>
          <w:sz w:val="20"/>
        </w:rPr>
        <w:t>号</w:t>
      </w:r>
    </w:p>
    <w:p>
      <w:pPr>
        <w:pStyle w:val="TextBody"/>
        <w:bidi w:val="0"/>
        <w:spacing w:before="0" w:after="0"/>
        <w:ind w:left="0" w:right="0" w:hanging="0"/>
        <w:jc w:val="right"/>
        <w:rPr>
          <w:caps w:val="false"/>
          <w:smallCaps w:val="false"/>
        </w:rPr>
      </w:pPr>
      <w:r>
        <w:rPr>
          <w:rFonts w:eastAsia="Times New Roman;Times;Serif"/>
          <w:b w:val="false"/>
          <w:i w:val="false"/>
          <w:caps w:val="false"/>
          <w:smallCaps w:val="false"/>
          <w:sz w:val="20"/>
        </w:rPr>
        <w:t xml:space="preserve">粤海金融中心 </w:t>
      </w:r>
      <w:r>
        <w:rPr>
          <w:rFonts w:ascii="Times New Roman;Times;Serif" w:hAnsi="Times New Roman;Times;Serif"/>
          <w:b w:val="false"/>
          <w:i w:val="false"/>
          <w:caps w:val="false"/>
          <w:smallCaps w:val="false"/>
          <w:sz w:val="20"/>
        </w:rPr>
        <w:t xml:space="preserve">2201 </w:t>
      </w:r>
      <w:r>
        <w:rPr>
          <w:rFonts w:eastAsia="Times New Roman;Times;Serif"/>
          <w:b w:val="false"/>
          <w:i w:val="false"/>
          <w:caps w:val="false"/>
          <w:smallCaps w:val="false"/>
          <w:sz w:val="20"/>
        </w:rPr>
        <w:t>室</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Registration Statement on Form F-3 (File No. 333-296153) of our report dated April 24, 2026, with respect to our audits of the consolidated financial statements of Baird Medical Investment Holdings Limited as of December 31, 2025 and 2024 and for the years ended December 31, 2025, 2024 and 2023, appearing in the Annual Report on Form 20-F of Baird Medical Investment Holdings Limited filed on April 24, 2026, as amended by Amendment No.1 on Form 20-F/A filed on July 27, 2026, for the year ended December 31, 2025. We also consent to the reference to our firm under the heading "Experts" in the Prospectus, which is part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Guangdong Prouden CPAs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Guangdong Prouden CPAs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82444/000110465926048641/bdmd-20251231x20f.htm" TargetMode="External"/><Relationship Id="rId4" Type="http://schemas.openxmlformats.org/officeDocument/2006/relationships/hyperlink" Target="https://www.sec.gov/ix?doc=/Archives/edgar/data/0001982444/000110465926087081/bdmd-20251231x20fa.htm" TargetMode="External"/><Relationship Id="rId5" Type="http://schemas.openxmlformats.org/officeDocument/2006/relationships/hyperlink" Target="https://www.sec.gov/Archives/edgar/data/1982444/000110465924107388/tm2425701d1_ex1-1.htm" TargetMode="External"/><Relationship Id="rId6" Type="http://schemas.openxmlformats.org/officeDocument/2006/relationships/hyperlink" Target="https://www.sec.gov/Archives/edgar/data/1982444/000110465924107388/tm2425701d1_ex2-1.htm" TargetMode="External"/><Relationship Id="rId7" Type="http://schemas.openxmlformats.org/officeDocument/2006/relationships/hyperlink" Target="https://www.sec.gov/Archives/edgar/data/1982444/000110465924107388/tm2425701d1_ex2-2.htm" TargetMode="External"/><Relationship Id="rId8" Type="http://schemas.openxmlformats.org/officeDocument/2006/relationships/hyperlink" Target="http://www.sec.gov/Archives/edgar/data/1852749/000110465921129843/tm2114962d14_ex4-1.htm" TargetMode="External"/><Relationship Id="rId9" Type="http://schemas.openxmlformats.org/officeDocument/2006/relationships/hyperlink" Target="https://www.sec.gov/Archives/edgar/data/1982444/000110465924107388/tm2425701d1_ex4-7.htm" TargetMode="External"/><Relationship Id="rId10" Type="http://schemas.openxmlformats.org/officeDocument/2006/relationships/hyperlink" Target="https://www.sec.gov/Archives/edgar/data/1982444/000110465926065480/tm2614412d2_ex4-7.htm" TargetMode="External"/><Relationship Id="rId11" Type="http://schemas.openxmlformats.org/officeDocument/2006/relationships/hyperlink" Target="https://www.sec.gov/Archives/edgar/data/1982444/000110465926065480/tm2614412d2_ex5-1.htm" TargetMode="External"/><Relationship Id="rId12" Type="http://schemas.openxmlformats.org/officeDocument/2006/relationships/hyperlink" Target="https://www.sec.gov/Archives/edgar/data/1982444/000110465926065480/tm2614412d2_ex5-2.htm" TargetMode="External"/><Relationship Id="rId13" Type="http://schemas.openxmlformats.org/officeDocument/2006/relationships/hyperlink" Target="https://www.sec.gov/Archives/edgar/data/1982444/000110465926065480/tm2614412d2_ex5-1.htm" TargetMode="External"/><Relationship Id="rId14" Type="http://schemas.openxmlformats.org/officeDocument/2006/relationships/hyperlink" Target="https://www.sec.gov/Archives/edgar/data/1982444/000110465926065480/tm2614412d2_ex5-2.htm" TargetMode="External"/><Relationship Id="rId15" Type="http://schemas.openxmlformats.org/officeDocument/2006/relationships/hyperlink" Target="https://www.sec.gov/Archives/edgar/data/1982444/000110465926065480/tm2614412d1_ex-filingfees.htm" TargetMode="External"/><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36499</Words>
  <Characters>191803</Characters>
  <CharactersWithSpaces>229609</CharactersWithSpaces>
  <Paragraphs>1992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