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Baird Medical Investment Holdings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$0.0001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09/24/2026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3"/>
        <w:gridCol w:w="8012"/>
      </w:tblGrid>
      <w:tr>
        <w:trPr/>
        <w:tc>
          <w:tcPr>
            <w:tcW w:w="2193" w:type="dxa"/>
            <w:tcBorders/>
            <w:vAlign w:val="center"/>
          </w:tcPr>
          <w:p>
            <w:pPr>
              <w:pStyle w:val="TableContents"/>
              <w:bidi w:val="0"/>
              <w:spacing w:before="0" w:after="283"/>
              <w:jc w:val="left"/>
              <w:rPr/>
            </w:pPr>
            <w:r>
              <w:rPr/>
              <w:t>1</w:t>
            </w:r>
          </w:p>
        </w:tc>
        <w:tc>
          <w:tcPr>
            <w:tcW w:w="801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L1 Capital Global Opportunities Master Fund, Ltd.</w:t>
            </w:r>
          </w:p>
        </w:tc>
      </w:tr>
      <w:tr>
        <w:trPr/>
        <w:tc>
          <w:tcPr>
            <w:tcW w:w="2193" w:type="dxa"/>
            <w:tcBorders/>
            <w:vAlign w:val="center"/>
          </w:tcPr>
          <w:p>
            <w:pPr>
              <w:pStyle w:val="TableContents"/>
              <w:bidi w:val="0"/>
              <w:spacing w:before="0" w:after="283"/>
              <w:jc w:val="left"/>
              <w:rPr/>
            </w:pPr>
            <w:r>
              <w:rPr/>
              <w:t>2</w:t>
            </w:r>
          </w:p>
        </w:tc>
        <w:tc>
          <w:tcPr>
            <w:tcW w:w="80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3" w:type="dxa"/>
            <w:tcBorders/>
            <w:vAlign w:val="center"/>
          </w:tcPr>
          <w:p>
            <w:pPr>
              <w:pStyle w:val="TableContents"/>
              <w:bidi w:val="0"/>
              <w:spacing w:before="0" w:after="283"/>
              <w:jc w:val="left"/>
              <w:rPr/>
            </w:pPr>
            <w:r>
              <w:rPr/>
              <w:t>3</w:t>
            </w:r>
          </w:p>
        </w:tc>
        <w:tc>
          <w:tcPr>
            <w:tcW w:w="8012" w:type="dxa"/>
            <w:tcBorders/>
            <w:vAlign w:val="center"/>
          </w:tcPr>
          <w:p>
            <w:pPr>
              <w:pStyle w:val="TableContents"/>
              <w:bidi w:val="0"/>
              <w:spacing w:before="0" w:after="283"/>
              <w:jc w:val="left"/>
              <w:rPr/>
            </w:pPr>
            <w:r>
              <w:rPr/>
              <w:t>Sec Use Only</w:t>
            </w:r>
          </w:p>
        </w:tc>
      </w:tr>
      <w:tr>
        <w:trPr/>
        <w:tc>
          <w:tcPr>
            <w:tcW w:w="2193" w:type="dxa"/>
            <w:tcBorders/>
            <w:vAlign w:val="center"/>
          </w:tcPr>
          <w:p>
            <w:pPr>
              <w:pStyle w:val="TableContents"/>
              <w:bidi w:val="0"/>
              <w:spacing w:before="0" w:after="283"/>
              <w:jc w:val="left"/>
              <w:rPr/>
            </w:pPr>
            <w:r>
              <w:rPr/>
              <w:t>4</w:t>
            </w:r>
          </w:p>
        </w:tc>
        <w:tc>
          <w:tcPr>
            <w:tcW w:w="80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3,551,868.00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3,551,868.00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2"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center"/>
          </w:tcPr>
          <w:p>
            <w:pPr>
              <w:pStyle w:val="TableContents"/>
              <w:bidi w:val="0"/>
              <w:spacing w:before="0" w:after="283"/>
              <w:jc w:val="left"/>
              <w:rPr/>
            </w:pPr>
            <w:r>
              <w:rPr/>
              <w:t>9</w:t>
            </w:r>
          </w:p>
        </w:tc>
        <w:tc>
          <w:tcPr>
            <w:tcW w:w="80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3,551,868.00</w:t>
            </w:r>
          </w:p>
        </w:tc>
      </w:tr>
      <w:tr>
        <w:trPr/>
        <w:tc>
          <w:tcPr>
            <w:tcW w:w="2193" w:type="dxa"/>
            <w:tcBorders/>
            <w:vAlign w:val="center"/>
          </w:tcPr>
          <w:p>
            <w:pPr>
              <w:pStyle w:val="TableContents"/>
              <w:bidi w:val="0"/>
              <w:spacing w:before="0" w:after="283"/>
              <w:jc w:val="left"/>
              <w:rPr/>
            </w:pPr>
            <w:r>
              <w:rPr/>
              <w:t>10</w:t>
            </w:r>
          </w:p>
        </w:tc>
        <w:tc>
          <w:tcPr>
            <w:tcW w:w="801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3" w:type="dxa"/>
            <w:tcBorders/>
            <w:vAlign w:val="center"/>
          </w:tcPr>
          <w:p>
            <w:pPr>
              <w:pStyle w:val="TableContents"/>
              <w:bidi w:val="0"/>
              <w:spacing w:before="0" w:after="283"/>
              <w:jc w:val="left"/>
              <w:rPr/>
            </w:pPr>
            <w:r>
              <w:rPr/>
              <w:t>11</w:t>
            </w:r>
          </w:p>
        </w:tc>
        <w:tc>
          <w:tcPr>
            <w:tcW w:w="801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93" w:type="dxa"/>
            <w:tcBorders/>
            <w:vAlign w:val="center"/>
          </w:tcPr>
          <w:p>
            <w:pPr>
              <w:pStyle w:val="TableContents"/>
              <w:bidi w:val="0"/>
              <w:spacing w:before="0" w:after="283"/>
              <w:jc w:val="left"/>
              <w:rPr/>
            </w:pPr>
            <w:r>
              <w:rPr/>
              <w:t>12</w:t>
            </w:r>
          </w:p>
        </w:tc>
        <w:tc>
          <w:tcPr>
            <w:tcW w:w="80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5"/>
        <w:gridCol w:w="8895"/>
        <w:gridCol w:w="155"/>
      </w:tblGrid>
      <w:tr>
        <w:trPr/>
        <w:tc>
          <w:tcPr>
            <w:tcW w:w="1155" w:type="dxa"/>
            <w:tcBorders/>
            <w:vAlign w:val="center"/>
          </w:tcPr>
          <w:p>
            <w:pPr>
              <w:pStyle w:val="TableContents"/>
              <w:bidi w:val="0"/>
              <w:spacing w:before="0" w:after="283"/>
              <w:jc w:val="left"/>
              <w:rPr/>
            </w:pPr>
            <w:r>
              <w:rPr/>
              <w:t>Item 1.</w:t>
            </w:r>
          </w:p>
        </w:tc>
        <w:tc>
          <w:tcPr>
            <w:tcW w:w="88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issuer: </w:t>
            </w:r>
          </w:p>
          <w:p>
            <w:pPr>
              <w:pStyle w:val="TableContents"/>
              <w:bidi w:val="0"/>
              <w:spacing w:before="0" w:after="0"/>
              <w:jc w:val="left"/>
              <w:rPr/>
            </w:pPr>
            <w:r>
              <w:rPr/>
              <w:t>Baird Medical Investment Holdings Ltd</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Room 202, 2/F, Baide Building, Building 11, No.15, Rongtong Street, Yuexiu District, Guangzhou, Peoples Republic of China</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2.</w:t>
            </w:r>
          </w:p>
        </w:tc>
        <w:tc>
          <w:tcPr>
            <w:tcW w:w="88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person filing: </w:t>
            </w:r>
          </w:p>
          <w:p>
            <w:pPr>
              <w:pStyle w:val="TableContents"/>
              <w:bidi w:val="0"/>
              <w:spacing w:before="0" w:after="0"/>
              <w:jc w:val="left"/>
              <w:rPr/>
            </w:pPr>
            <w:r>
              <w:rPr/>
              <w:t>L1 Capital Global Opportunities Master Fund, Ltd.</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3rd Floor, Citrus Grove Building, 106 Goring Ave. George Town PO Box 10085 Grand Cayman, Cayman Islands KY1-1001</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jc w:val="left"/>
              <w:rPr/>
            </w:pPr>
            <w:r>
              <w:rPr/>
              <w:t xml:space="preserve">Citizenship: </w:t>
            </w:r>
          </w:p>
          <w:p>
            <w:pPr>
              <w:pStyle w:val="TableContents"/>
              <w:bidi w:val="0"/>
              <w:spacing w:before="0" w:after="0"/>
              <w:jc w:val="left"/>
              <w:rPr/>
            </w:pPr>
            <w:r>
              <w:rPr/>
              <w:t>Cayman Islands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$0.0001 par value</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3.</w:t>
            </w:r>
          </w:p>
        </w:tc>
        <w:tc>
          <w:tcPr>
            <w:tcW w:w="889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(f)</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(g)</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(h)</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(j)</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(k)</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9050" w:type="dxa"/>
            <w:gridSpan w:val="2"/>
            <w:tcBorders/>
            <w:vAlign w:val="center"/>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4.</w:t>
            </w:r>
          </w:p>
        </w:tc>
        <w:tc>
          <w:tcPr>
            <w:tcW w:w="889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3,551,868 The amounts in Row (5), (7) and (9) represent 110,070 Ordinary Shares and 3,441,798 Ordinary Shares issuable upon conversion of a Senior 8% Original Issue Discount Convertible Promissory Note, subject to a 9.99% beneficial ownership limitation. The amounts do not include an additional 2,475,826 Ordinary Shares issuable upon conversion of a Senior 8% Original Issue Discount Convertible Promissory Note, subject to a 9.99% beneficial ownership limitation The percentage set forth on Row (11) of the cover page for the Reporting Person is based on 33,612,440 Ordinary Shares outstanding, based on the Issuer's Prospectus Supplement under Rule 424(b)(5), filed with the Securities and Exchange Commission on September 24, 2026. David Feldman and Joel Arber are the Directors of L1 Capital Global Opportunities Master Fund, Ltd. As such, L1 Capital Global Opportunities Master Fund, Ltd., Mr. Feldman, and Mr. Arber may be deemed to beneficially own (as that term is defined in Rule 13d-3 under the Securities Exchange Act of 1934) the issuer's securities described herein. To the extent Mr. Feldman and Mr. Arber are deemed to beneficially own such securities, Mr. Feldman and Mr. Arber disclaim beneficial ownership of these securities for all other purposes.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9.99%  %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3,551,868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3,551,868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5.</w:t>
            </w:r>
          </w:p>
        </w:tc>
        <w:tc>
          <w:tcPr>
            <w:tcW w:w="889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6.</w:t>
            </w:r>
          </w:p>
        </w:tc>
        <w:tc>
          <w:tcPr>
            <w:tcW w:w="889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7.</w:t>
            </w:r>
          </w:p>
        </w:tc>
        <w:tc>
          <w:tcPr>
            <w:tcW w:w="889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8.</w:t>
            </w:r>
          </w:p>
        </w:tc>
        <w:tc>
          <w:tcPr>
            <w:tcW w:w="889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9.</w:t>
            </w:r>
          </w:p>
        </w:tc>
        <w:tc>
          <w:tcPr>
            <w:tcW w:w="889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109"/>
        <w:gridCol w:w="5096"/>
      </w:tblGrid>
      <w:tr>
        <w:trPr/>
        <w:tc>
          <w:tcPr>
            <w:tcW w:w="5109" w:type="dxa"/>
            <w:tcBorders/>
            <w:vAlign w:val="center"/>
          </w:tcPr>
          <w:p>
            <w:pPr>
              <w:pStyle w:val="TableContents"/>
              <w:bidi w:val="0"/>
              <w:spacing w:before="0" w:after="0"/>
              <w:jc w:val="left"/>
              <w:rPr/>
            </w:pPr>
            <w:r>
              <w:rPr/>
              <w:t> </w:t>
            </w:r>
          </w:p>
          <w:tbl>
            <w:tblPr>
              <w:tblW w:w="4996" w:type="dxa"/>
              <w:jc w:val="left"/>
              <w:tblInd w:w="0" w:type="dxa"/>
              <w:tblLayout w:type="fixed"/>
              <w:tblCellMar>
                <w:top w:w="28" w:type="dxa"/>
                <w:left w:w="28" w:type="dxa"/>
                <w:bottom w:w="28" w:type="dxa"/>
                <w:right w:w="28" w:type="dxa"/>
              </w:tblCellMar>
            </w:tblPr>
            <w:tblGrid>
              <w:gridCol w:w="4996"/>
            </w:tblGrid>
            <w:tr>
              <w:trPr/>
              <w:tc>
                <w:tcPr>
                  <w:tcW w:w="4996" w:type="dxa"/>
                  <w:tcBorders/>
                  <w:vAlign w:val="center"/>
                </w:tcPr>
                <w:p>
                  <w:pPr>
                    <w:pStyle w:val="TableContents"/>
                    <w:bidi w:val="0"/>
                    <w:spacing w:before="0" w:after="0"/>
                    <w:jc w:val="left"/>
                    <w:rPr/>
                  </w:pPr>
                  <w:r>
                    <w:rPr/>
                    <w:t>L1 Capital Global Opportunities Master Fund, Ltd.</w:t>
                  </w:r>
                </w:p>
              </w:tc>
            </w:tr>
          </w:tbl>
          <w:p>
            <w:pPr>
              <w:pStyle w:val="TableContents"/>
              <w:bidi w:val="0"/>
              <w:spacing w:before="0" w:after="283"/>
              <w:jc w:val="left"/>
              <w:rPr/>
            </w:pPr>
            <w:r>
              <w:rPr/>
            </w:r>
          </w:p>
        </w:tc>
        <w:tc>
          <w:tcPr>
            <w:tcW w:w="509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7"/>
        <w:gridCol w:w="4368"/>
      </w:tblGrid>
      <w:tr>
        <w:trPr/>
        <w:tc>
          <w:tcPr>
            <w:tcW w:w="58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David Feldman</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David Feldman, Director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10/01/2026</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941</Words>
  <Characters>4979</Characters>
  <CharactersWithSpaces>5911</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