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6149d1_6k.htm"/>
      <w:bookmarkStart w:id="1" w:name="kstm2626149d1_6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Baird Medical Investment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202, 2/F, Baide Building, Building 11, No.15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Rongtong Street, Yuexiu District, Guangzhou,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Baird Medical Investment Holdings Limited, a Cayman Islands exempted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furnishes under the cover of Form 6-K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2026, the Company, entered into a certain Securities Purchase Agreement (the “</w:t>
      </w:r>
      <w:r>
        <w:rPr>
          <w:rFonts w:ascii="Times New Roman;Times;Serif" w:hAnsi="Times New Roman;Times;Serif"/>
          <w:b w:val="false"/>
          <w:i w:val="false"/>
          <w:caps w:val="false"/>
          <w:smallCaps w:val="false"/>
          <w:sz w:val="20"/>
          <w:u w:val="single"/>
        </w:rPr>
        <w:t>SPA</w:t>
      </w:r>
      <w:r>
        <w:rPr>
          <w:rFonts w:ascii="Times New Roman;Times;Serif" w:hAnsi="Times New Roman;Times;Serif"/>
          <w:b w:val="false"/>
          <w:i w:val="false"/>
          <w:caps w:val="false"/>
          <w:smallCaps w:val="false"/>
          <w:sz w:val="20"/>
        </w:rPr>
        <w:t>”) with an institutional investor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xml:space="preserve">”). Pursuant to the SPA, the Company agreed to issue and sell to the Purchaser a </w:t>
      </w:r>
      <w:r>
        <w:rPr>
          <w:rFonts w:ascii="Times New Roman;Times;Serif" w:hAnsi="Times New Roman;Times;Serif"/>
          <w:b w:val="false"/>
          <w:i w:val="false"/>
          <w:caps w:val="false"/>
          <w:smallCaps w:val="false"/>
          <w:color w:val="231F20"/>
          <w:sz w:val="20"/>
        </w:rPr>
        <w:t>senior 8% original issue discount convertible promissory note in the principal amount of US$4,347,826, which is convertible into our ordinary shares (the “</w:t>
      </w:r>
      <w:r>
        <w:rPr>
          <w:rFonts w:ascii="Times New Roman;Times;Serif" w:hAnsi="Times New Roman;Times;Serif"/>
          <w:b w:val="false"/>
          <w:i w:val="false"/>
          <w:caps w:val="false"/>
          <w:smallCaps w:val="false"/>
          <w:color w:val="231F20"/>
          <w:sz w:val="20"/>
          <w:u w:val="single"/>
        </w:rPr>
        <w:t>Note</w:t>
      </w:r>
      <w:r>
        <w:rPr>
          <w:rFonts w:ascii="Times New Roman;Times;Serif" w:hAnsi="Times New Roman;Times;Serif"/>
          <w:b w:val="false"/>
          <w:i w:val="false"/>
          <w:caps w:val="false"/>
          <w:smallCaps w:val="false"/>
          <w:color w:val="231F20"/>
          <w:sz w:val="20"/>
        </w:rPr>
        <w:t>”). The Notes carry an 8% original issue discount, and have a term of 12 months from the issuance date. No interest accrues during the term of the Notes unless an event of default occurs, in which case interest will accrue at a rate of 15% per annum or, if less, the highest amount permitted by law. Such interest shall compound monthly based upon a 360-day year, and shall be due and payable on the first trading day of each month during the continuance of such event of default (a “Default Interest Payment Date”). In the event that such event of default is subsequently cured and no other event of default then exists, the interest shall cease to accrue hereunder as of the day immediately following the date of such cure. Our obligations under these Notes rank senior to all other existing indebtedness and equity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the SPA, the Note is also subject to an additional 2% original issue discount of the subscription amount, or $86,956 (the “Additional Discount”). Accordingly the Company issued an aggregate of 110,070 ordinary shares, par value $0.0001 per share, which equals to the result of Additional Discount divided by $0.79 per share, the closing price of the ordinary shares as reported on the trading day immediately preceding the closing date (as applicable, the “Discount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addition, the Purchaser shall have the obligation to lend the Company an additional $3,680,000, exercisable within 180 days of the closing date; provided that (i) the closing price on the trading day immediately preceding the second closing date is more than $1.00, (ii) the sale of the conversion shares issuable upon conversion of the Note may be made under the Registration Statement on Form F-3 filed by the Company with the SEC and declared effective by the SEC, (iii) less than $300,000 of principal amount of the Note is outstanding, and (iv) the conditions set forth in Section 2.3 of the SPA shall have been satisfied. Within 360 days of the first closing date, the Purchaser may lend the Company an additional $6 million in two closings, subject to mutual consent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u w:val="single"/>
        </w:rPr>
      </w:pPr>
      <w:r>
        <w:rPr>
          <w:rFonts w:ascii="Times New Roman;Times;Serif" w:hAnsi="Times New Roman;Times;Serif"/>
          <w:b w:val="false"/>
          <w:i/>
          <w:caps w:val="false"/>
          <w:smallCaps w:val="false"/>
          <w:color w:val="231F20"/>
          <w:sz w:val="20"/>
          <w:u w:val="single"/>
        </w:rPr>
        <w:t>Conversion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The Purchaser can convert its Note into ordinary shares by providing a conversion notice. The number of shares issuable upon</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color w:val="231F20"/>
          <w:sz w:val="20"/>
        </w:rPr>
        <w:t>conversion is calculated by dividing (i) the portion of the principal and any accrued interest the holder chooses to convert by (ii) the conversion price on the date of the conversion notice. The conversion price is the lower of (i) the Fixed Conversion Price, set at $0.9842, which is 120% of the average of the three daily VWAPs as of the trading day immediately before the closing date of the Purchase Agreement, and (ii) the alternative conversion price, set at 92% of the lowest daily VWAP over the seven trading days immediately before the date of the applicable conversion notice (or 85% upon an event of default). Any fractional amounts resulting from these calculations will be rounded down to the nearest cent, and the conversion price cannot fall below the floor price, which is set at 20% of the Nasdaq minimum price as defined under Nasdaq Listing Rules. If the conversion price is lower than the floor price at the time a conversion notice is received, shares will be issued based on the floor price, and the Company shall either (i) reduce the floor price to allow such conversion to be made at the Conversion Price then in effect, or (ii) issue a number of shares equal to the conversion amount divided by such floor price and either (A) pay the economic difference between the applicable conversion price (without regard to the Floor Price) and such floor price in cash or (B) add such economic difference to the principal of the Note. The difference is determined as (i) the number of shares that would have been delivered using the conversion price, minus (ii) the number of shares delivered using the floor price, multiplied by (iii) the daily VWAP of our shares on the date of the 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Purchaser does not have the right to convert any portion of the Note if, upon conversion, the Purchaser and any other attribution parties would collectively beneficially own more than 9.99% (the “Maximum Percentage”) of our outstanding ordinary shares immediately after giving effect to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u w:val="single"/>
        </w:rPr>
      </w:pPr>
      <w:r>
        <w:rPr>
          <w:rFonts w:ascii="Times New Roman;Times;Serif" w:hAnsi="Times New Roman;Times;Serif"/>
          <w:b w:val="false"/>
          <w:i/>
          <w:caps w:val="false"/>
          <w:smallCaps w:val="false"/>
          <w:color w:val="231F20"/>
          <w:sz w:val="20"/>
          <w:u w:val="single"/>
        </w:rPr>
        <w:t>Subsidiary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connection with the issuance of the Note, the Company and each of the Company’s subsidiaries (other than the Excluded Subsidiary, as defined under the Guarantee) have entered into a Subsidiary Guarantee (the “Guarantee”) in favor of the Investor. The Guarantee may also be joined by any subsidiary of the Company formed or acquired after the date thereof for so long as the Guarantee remains in effect. For a detailed description of the Guarantee. Please refer to “Description of Securities We Are Offering - Subsidiary Guarantee” included in the prospectus supplement the Company filed on 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u w:val="single"/>
        </w:rPr>
      </w:pPr>
      <w:r>
        <w:rPr>
          <w:rFonts w:ascii="Times New Roman;Times;Serif" w:hAnsi="Times New Roman;Times;Serif"/>
          <w:b w:val="false"/>
          <w:i/>
          <w:caps w:val="false"/>
          <w:smallCaps w:val="false"/>
          <w:color w:val="231F20"/>
          <w:sz w:val="20"/>
          <w:u w:val="single"/>
        </w:rPr>
        <w:t>Pledge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connection with the issuance of the Note, the Company, as pledgor, has entered into a Pledge Agreement (the “Pledge Agreement”) with the Investor. Pursuant to the Pledge Agreement, the Company has pledged and granted to the Investor, a first priority perfected security interest in all of the equity interests (the “Pledged Interests”) of Baird Med LLC, its wholly owned U.S. operating subsidiary, and any other subsidiaries of the Company formed, registered, incorporated, or acquired after the date thereof that have assets located in, or are otherwise subject to the jurisdiction of, any state or territory of the United States (each, a “Pledge Entity”). Please refer to “Description of Securities We Are Offering – Pledge Agreement” included in the prospectus supplement the Company filed on 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u w:val="single"/>
        </w:rPr>
      </w:pPr>
      <w:r>
        <w:rPr>
          <w:rFonts w:ascii="Times New Roman;Times;Serif" w:hAnsi="Times New Roman;Times;Serif"/>
          <w:b w:val="false"/>
          <w:i/>
          <w:caps w:val="false"/>
          <w:smallCaps w:val="false"/>
          <w:color w:val="231F20"/>
          <w:sz w:val="20"/>
          <w:u w:val="single"/>
        </w:rPr>
        <w:t>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connection with the issuance of the Note, the Company and Baird Medical LLC (collectively, the “Debtors”) have entered into a Security Agreement (the “Security Agreement”) with the Purchaser. The Security Agreement provides that any subsidiary of the Company formed, registered, incorporated, or acquired after the date thereof that has assets located in, or is otherwise subject to the jurisdiction of, any state or territory of the United States will be required to join the Security Agreement as an additional Debtor.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the Security Agreement, each Debtor has granted to the Secured Party, a lien on and security interest in substantially all of such Debtor’s assets located in the United States (the “Collateral”), and all proceeds of the foregoing. The Collateral excludes certain assets where the grant of a security interest would violate or invalidate an existing lease, license, or agreement or trigger a termination right in favor of a third party (the “Excluded Assets”). Please refer to “Description of Securities We Are Offering – Security Agreement” included in the prospectus supplement the Company filed on 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foregoing descriptions of the Securities Purchase Agreement, Note, Security Agreement, Pledge Agreement and Guarantee Agreement do not purport to be complete and are qualified in their entirety by the full text of such documents, forms of which are filed as Exhibits 10.1-10.5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both"/>
              <w:rPr/>
            </w:pPr>
            <w:hyperlink w:anchor="tm2626149d1_ex5-1.htm">
              <w:r>
                <w:rPr>
                  <w:rStyle w:val="InternetLink"/>
                  <w:rFonts w:ascii="Times New Roman;Times;Serif" w:hAnsi="Times New Roman;Times;Serif"/>
                  <w:sz w:val="20"/>
                </w:rPr>
                <w:t>5.1</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tm2626149d1_ex5-1.htm">
              <w:r>
                <w:rPr>
                  <w:rStyle w:val="InternetLink"/>
                  <w:rFonts w:ascii="Times New Roman;Times;Serif" w:hAnsi="Times New Roman;Times;Serif"/>
                  <w:sz w:val="20"/>
                </w:rPr>
                <w:t>Opinion of Conyers Dill &amp; Pearman regarding the validity of the securities being registered and certain Cayman Islands legal matters</w:t>
              </w:r>
            </w:hyperlink>
          </w:p>
        </w:tc>
      </w:tr>
      <w:tr>
        <w:trPr/>
        <w:tc>
          <w:tcPr>
            <w:tcW w:w="995" w:type="dxa"/>
            <w:tcBorders/>
            <w:shd w:fill="FFFFFF" w:val="clear"/>
            <w:tcMar>
              <w:bottom w:w="0" w:type="dxa"/>
            </w:tcMar>
            <w:vAlign w:val="center"/>
          </w:tcPr>
          <w:p>
            <w:pPr>
              <w:pStyle w:val="TableContents"/>
              <w:bidi w:val="0"/>
              <w:spacing w:before="0" w:after="283"/>
              <w:jc w:val="both"/>
              <w:rPr/>
            </w:pPr>
            <w:hyperlink w:anchor="tm2626149d1_ex5-1.htm">
              <w:r>
                <w:rPr>
                  <w:rStyle w:val="InternetLink"/>
                  <w:rFonts w:ascii="Times New Roman;Times;Serif" w:hAnsi="Times New Roman;Times;Serif"/>
                  <w:sz w:val="20"/>
                </w:rPr>
                <w:t>8.1</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w:anchor="tm2626149d1_ex5-1.htm">
              <w:r>
                <w:rPr>
                  <w:rStyle w:val="InternetLink"/>
                  <w:rFonts w:ascii="Times New Roman;Times;Serif" w:hAnsi="Times New Roman;Times;Serif"/>
                  <w:sz w:val="20"/>
                </w:rPr>
                <w:t>Opinion of Conyers Dill &amp; Pearman regarding certain Cayman Islands legal matters (included in Exhibit 5.1)</w:t>
              </w:r>
            </w:hyperlink>
          </w:p>
        </w:tc>
      </w:tr>
      <w:tr>
        <w:trPr/>
        <w:tc>
          <w:tcPr>
            <w:tcW w:w="995" w:type="dxa"/>
            <w:tcBorders/>
            <w:shd w:fill="CCEEFF" w:val="clear"/>
            <w:tcMar>
              <w:bottom w:w="0" w:type="dxa"/>
            </w:tcMar>
            <w:vAlign w:val="center"/>
          </w:tcPr>
          <w:p>
            <w:pPr>
              <w:pStyle w:val="TableContents"/>
              <w:bidi w:val="0"/>
              <w:spacing w:before="0" w:after="283"/>
              <w:jc w:val="both"/>
              <w:rPr/>
            </w:pPr>
            <w:hyperlink w:anchor="tm2626149d1_ex10-1.htm">
              <w:r>
                <w:rPr>
                  <w:rStyle w:val="InternetLink"/>
                  <w:rFonts w:ascii="Times New Roman;Times;Serif" w:hAnsi="Times New Roman;Times;Serif"/>
                  <w:sz w:val="20"/>
                </w:rPr>
                <w:t>10.1*</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tm2626149d1_ex10-1.htm">
              <w:r>
                <w:rPr>
                  <w:rStyle w:val="InternetLink"/>
                  <w:rFonts w:ascii="Times New Roman;Times;Serif" w:hAnsi="Times New Roman;Times;Serif"/>
                  <w:sz w:val="20"/>
                </w:rPr>
                <w:t>Form of Securities Purchase Agreement between the Company and the Purchaser.</w:t>
              </w:r>
            </w:hyperlink>
          </w:p>
        </w:tc>
      </w:tr>
      <w:tr>
        <w:trPr/>
        <w:tc>
          <w:tcPr>
            <w:tcW w:w="995" w:type="dxa"/>
            <w:tcBorders/>
            <w:shd w:fill="FFFFFF" w:val="clear"/>
            <w:tcMar>
              <w:bottom w:w="0" w:type="dxa"/>
            </w:tcMar>
            <w:vAlign w:val="center"/>
          </w:tcPr>
          <w:p>
            <w:pPr>
              <w:pStyle w:val="TableContents"/>
              <w:bidi w:val="0"/>
              <w:spacing w:before="0" w:after="283"/>
              <w:jc w:val="both"/>
              <w:rPr/>
            </w:pPr>
            <w:hyperlink w:anchor="tm2626149d1_ex10-2.htm">
              <w:r>
                <w:rPr>
                  <w:rStyle w:val="InternetLink"/>
                  <w:rFonts w:ascii="Times New Roman;Times;Serif" w:hAnsi="Times New Roman;Times;Serif"/>
                  <w:sz w:val="20"/>
                </w:rPr>
                <w:t>10.2*</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w:anchor="tm2626149d1_ex10-2.htm">
              <w:r>
                <w:rPr>
                  <w:rStyle w:val="InternetLink"/>
                  <w:rFonts w:ascii="Times New Roman;Times;Serif" w:hAnsi="Times New Roman;Times;Serif"/>
                  <w:sz w:val="20"/>
                </w:rPr>
                <w:t>Form of Senior 8% Original Issue Discount Convertible Promissory Note</w:t>
              </w:r>
            </w:hyperlink>
          </w:p>
        </w:tc>
      </w:tr>
      <w:tr>
        <w:trPr/>
        <w:tc>
          <w:tcPr>
            <w:tcW w:w="995" w:type="dxa"/>
            <w:tcBorders/>
            <w:shd w:fill="CCEEFF" w:val="clear"/>
            <w:tcMar>
              <w:bottom w:w="0" w:type="dxa"/>
            </w:tcMar>
            <w:vAlign w:val="center"/>
          </w:tcPr>
          <w:p>
            <w:pPr>
              <w:pStyle w:val="TableContents"/>
              <w:bidi w:val="0"/>
              <w:spacing w:before="0" w:after="283"/>
              <w:jc w:val="both"/>
              <w:rPr/>
            </w:pPr>
            <w:hyperlink w:anchor="tm2626149d1_ex10-3.htm">
              <w:r>
                <w:rPr>
                  <w:rStyle w:val="InternetLink"/>
                  <w:rFonts w:ascii="Times New Roman;Times;Serif" w:hAnsi="Times New Roman;Times;Serif"/>
                  <w:sz w:val="20"/>
                </w:rPr>
                <w:t>10.3*</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tm2626149d1_ex10-3.htm">
              <w:r>
                <w:rPr>
                  <w:rStyle w:val="InternetLink"/>
                  <w:rFonts w:ascii="Times New Roman;Times;Serif" w:hAnsi="Times New Roman;Times;Serif"/>
                  <w:sz w:val="20"/>
                </w:rPr>
                <w:t>Form of Security Agreement</w:t>
              </w:r>
            </w:hyperlink>
          </w:p>
        </w:tc>
      </w:tr>
      <w:tr>
        <w:trPr/>
        <w:tc>
          <w:tcPr>
            <w:tcW w:w="995" w:type="dxa"/>
            <w:tcBorders/>
            <w:shd w:fill="FFFFFF" w:val="clear"/>
            <w:tcMar>
              <w:bottom w:w="0" w:type="dxa"/>
            </w:tcMar>
            <w:vAlign w:val="center"/>
          </w:tcPr>
          <w:p>
            <w:pPr>
              <w:pStyle w:val="TableContents"/>
              <w:bidi w:val="0"/>
              <w:spacing w:before="0" w:after="283"/>
              <w:jc w:val="both"/>
              <w:rPr/>
            </w:pPr>
            <w:hyperlink w:anchor="tm2626149d1_ex10-4.htm">
              <w:r>
                <w:rPr>
                  <w:rStyle w:val="InternetLink"/>
                  <w:rFonts w:ascii="Times New Roman;Times;Serif" w:hAnsi="Times New Roman;Times;Serif"/>
                  <w:sz w:val="20"/>
                </w:rPr>
                <w:t>10.4*</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w:anchor="tm2626149d1_ex10-4.htm">
              <w:r>
                <w:rPr>
                  <w:rStyle w:val="InternetLink"/>
                  <w:rFonts w:ascii="Times New Roman;Times;Serif" w:hAnsi="Times New Roman;Times;Serif"/>
                  <w:sz w:val="20"/>
                </w:rPr>
                <w:t>Form of Pledge Agreement</w:t>
              </w:r>
            </w:hyperlink>
          </w:p>
        </w:tc>
      </w:tr>
      <w:tr>
        <w:trPr/>
        <w:tc>
          <w:tcPr>
            <w:tcW w:w="995" w:type="dxa"/>
            <w:tcBorders/>
            <w:shd w:fill="CCEEFF" w:val="clear"/>
            <w:tcMar>
              <w:bottom w:w="0" w:type="dxa"/>
            </w:tcMar>
            <w:vAlign w:val="center"/>
          </w:tcPr>
          <w:p>
            <w:pPr>
              <w:pStyle w:val="TableContents"/>
              <w:bidi w:val="0"/>
              <w:spacing w:before="0" w:after="283"/>
              <w:jc w:val="both"/>
              <w:rPr/>
            </w:pPr>
            <w:hyperlink w:anchor="tm2626149d1_ex10-5.htm">
              <w:r>
                <w:rPr>
                  <w:rStyle w:val="InternetLink"/>
                  <w:rFonts w:ascii="Times New Roman;Times;Serif" w:hAnsi="Times New Roman;Times;Serif"/>
                  <w:sz w:val="20"/>
                </w:rPr>
                <w:t>10.5*</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tm2626149d1_ex10-5.htm">
              <w:r>
                <w:rPr>
                  <w:rStyle w:val="InternetLink"/>
                  <w:rFonts w:ascii="Times New Roman;Times;Serif" w:hAnsi="Times New Roman;Times;Serif"/>
                  <w:sz w:val="20"/>
                </w:rPr>
                <w:t>Form of Guarantee Agreement</w:t>
              </w:r>
            </w:hyperlink>
          </w:p>
        </w:tc>
      </w:tr>
      <w:tr>
        <w:trPr/>
        <w:tc>
          <w:tcPr>
            <w:tcW w:w="995" w:type="dxa"/>
            <w:tcBorders/>
            <w:shd w:fill="FFFFFF" w:val="clear"/>
            <w:tcMar>
              <w:bottom w:w="0" w:type="dxa"/>
            </w:tcMar>
            <w:vAlign w:val="center"/>
          </w:tcPr>
          <w:p>
            <w:pPr>
              <w:pStyle w:val="TableContents"/>
              <w:bidi w:val="0"/>
              <w:spacing w:before="0" w:after="283"/>
              <w:jc w:val="both"/>
              <w:rPr/>
            </w:pPr>
            <w:hyperlink w:anchor="tm2626149d1_ex5-1.htm">
              <w:r>
                <w:rPr>
                  <w:rStyle w:val="InternetLink"/>
                  <w:rFonts w:ascii="Times New Roman;Times;Serif" w:hAnsi="Times New Roman;Times;Serif"/>
                  <w:sz w:val="20"/>
                </w:rPr>
                <w:t>23.2</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w:anchor="tm2626149d1_ex5-1.htm">
              <w:r>
                <w:rPr>
                  <w:rStyle w:val="InternetLink"/>
                  <w:rFonts w:ascii="Times New Roman;Times;Serif" w:hAnsi="Times New Roman;Times;Serif"/>
                  <w:sz w:val="20"/>
                </w:rPr>
                <w:t>Consent of Conyers Dill &amp; Pearman (included in Exhibit 5.1)</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            </w:t>
      </w:r>
      <w:r>
        <w:rPr>
          <w:rFonts w:ascii="Times New Roman;Times;Serif" w:hAnsi="Times New Roman;Times;Serif"/>
          <w:b w:val="false"/>
          <w:i w:val="false"/>
          <w:caps w:val="false"/>
          <w:smallCaps w:val="false"/>
          <w:color w:val="231F20"/>
          <w:sz w:val="20"/>
        </w:rPr>
        <w:t>Portions of the exhibit, including certain private and confidential information has been omitted pursuant to Item 601(a)(6) and Item 601(b)(10)(iv) of Regulation S-K. The Registrant hereby agrees to furnish a copy of any omitted portion to the SEC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color w:val="231F20"/>
          <w:sz w:val="20"/>
        </w:rPr>
        <w:t xml:space="preserve">Exhibits 5.1, 8.1, 10.1, 10.2 10.3, 10.4, 10.5 and 23.2 to this report on Form 6-K are hereby incorporated by reference into the registration statement of </w:t>
      </w:r>
      <w:r>
        <w:rPr>
          <w:rFonts w:ascii="Times New Roman;Times;Serif" w:hAnsi="Times New Roman;Times;Serif"/>
          <w:b w:val="false"/>
          <w:i w:val="false"/>
          <w:caps w:val="false"/>
          <w:smallCaps w:val="false"/>
          <w:sz w:val="20"/>
        </w:rPr>
        <w:t xml:space="preserve">Baird Medical Investment Holdings Limited </w:t>
      </w:r>
      <w:r>
        <w:rPr>
          <w:rFonts w:ascii="Times New Roman;Times;Serif" w:hAnsi="Times New Roman;Times;Serif"/>
          <w:b w:val="false"/>
          <w:i w:val="false"/>
          <w:caps w:val="false"/>
          <w:smallCaps w:val="false"/>
          <w:color w:val="231F20"/>
          <w:sz w:val="20"/>
        </w:rPr>
        <w:t xml:space="preserve">on the shelf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color w:val="231F20"/>
          <w:sz w:val="20"/>
        </w:rPr>
        <w:t> (No. 333-296153) to the extent not superseded by documents or reports subsequently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30, 2026  </w:t>
      </w:r>
    </w:p>
    <w:p>
      <w:pPr>
        <w:pStyle w:val="TextBody"/>
        <w:bidi w:val="0"/>
        <w:spacing w:before="0" w:after="283"/>
        <w:jc w:val="left"/>
        <w:rPr/>
      </w:pPr>
      <w:r>
        <w:rPr/>
        <w:t> </w:t>
      </w:r>
    </w:p>
    <w:tbl>
      <w:tblPr>
        <w:tblW w:w="4090" w:type="dxa"/>
        <w:jc w:val="left"/>
        <w:tblInd w:w="0" w:type="dxa"/>
        <w:tblLayout w:type="fixed"/>
        <w:tblCellMar>
          <w:top w:w="0" w:type="dxa"/>
          <w:left w:w="0" w:type="dxa"/>
          <w:bottom w:w="0" w:type="dxa"/>
          <w:right w:w="0" w:type="dxa"/>
        </w:tblCellMar>
      </w:tblPr>
      <w:tblGrid>
        <w:gridCol w:w="605"/>
        <w:gridCol w:w="3410"/>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Haimei Wu</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Haimei Wu</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Chairwoman and Chief Executive Officer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6149d1_ex5-1.htm"/>
      <w:bookmarkStart w:id="3" w:name="kstm2626149d1_ex51"/>
      <w:bookmarkEnd w:id="2"/>
      <w:bookmarkEnd w:id="3"/>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4575"/>
        <w:gridCol w:w="3185"/>
      </w:tblGrid>
      <w:tr>
        <w:trPr/>
        <w:tc>
          <w:tcPr>
            <w:tcW w:w="45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CONYERS DILL &amp; PEARMAN</w:t>
            </w:r>
          </w:p>
        </w:tc>
      </w:tr>
      <w:tr>
        <w:trPr/>
        <w:tc>
          <w:tcPr>
            <w:tcW w:w="45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29th Floor</w:t>
            </w:r>
          </w:p>
        </w:tc>
      </w:tr>
      <w:tr>
        <w:trPr/>
        <w:tc>
          <w:tcPr>
            <w:tcW w:w="4575" w:type="dxa"/>
            <w:vMerge w:val="restart"/>
            <w:tcBorders/>
            <w:vAlign w:val="center"/>
          </w:tcPr>
          <w:p>
            <w:pPr>
              <w:pStyle w:val="TableContents"/>
              <w:bidi w:val="0"/>
              <w:spacing w:before="0" w:after="283"/>
              <w:jc w:val="left"/>
              <w:rPr/>
            </w:pPr>
            <w:r>
              <w:rPr/>
              <w:drawing>
                <wp:inline distT="0" distB="0" distL="0" distR="0">
                  <wp:extent cx="28575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857500" cy="476250"/>
                          </a:xfrm>
                          <a:prstGeom prst="rect">
                            <a:avLst/>
                          </a:prstGeom>
                        </pic:spPr>
                      </pic:pic>
                    </a:graphicData>
                  </a:graphic>
                </wp:inline>
              </w:drawing>
            </w:r>
            <w:r>
              <w:rPr/>
              <w:t> </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Exchange Square</w:t>
            </w:r>
          </w:p>
        </w:tc>
      </w:tr>
      <w:tr>
        <w:trPr/>
        <w:tc>
          <w:tcPr>
            <w:tcW w:w="457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 Connaught Place</w:t>
            </w:r>
          </w:p>
        </w:tc>
      </w:tr>
      <w:tr>
        <w:trPr/>
        <w:tc>
          <w:tcPr>
            <w:tcW w:w="457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Central</w:t>
            </w:r>
          </w:p>
        </w:tc>
      </w:tr>
      <w:tr>
        <w:trPr/>
        <w:tc>
          <w:tcPr>
            <w:tcW w:w="457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45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 +852 2524 7106 | F +852 2845 9268</w:t>
            </w:r>
          </w:p>
        </w:tc>
      </w:tr>
      <w:tr>
        <w:trPr/>
        <w:tc>
          <w:tcPr>
            <w:tcW w:w="45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conyers.com</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 No.: 1020762/114173451</w:t>
        <w:br/>
        <w:t>(852) 2842 9430</w:t>
        <w:br/>
        <w:t>Beverly.Cheung@conyers.com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Baird Medical Investment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202, 2/F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Baide Building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11, No. 15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Rongtong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Yuexiu District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Baird Medical Investment Holdings Limited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D2A30"/>
          <w:sz w:val="20"/>
        </w:rPr>
        <w:t>We have acted as special Cayman Islands legal counsel to the Company in connection with a registered direct offering (the “</w:t>
      </w:r>
      <w:r>
        <w:rPr>
          <w:rFonts w:ascii="Times New Roman;Times;Serif" w:hAnsi="Times New Roman;Times;Serif"/>
          <w:b/>
          <w:i w:val="false"/>
          <w:caps w:val="false"/>
          <w:smallCaps w:val="false"/>
          <w:color w:val="2D2A30"/>
          <w:sz w:val="20"/>
        </w:rPr>
        <w:t>Offering</w:t>
      </w:r>
      <w:r>
        <w:rPr>
          <w:rFonts w:ascii="Times New Roman;Times;Serif" w:hAnsi="Times New Roman;Times;Serif"/>
          <w:b w:val="false"/>
          <w:i w:val="false"/>
          <w:caps w:val="false"/>
          <w:smallCaps w:val="false"/>
          <w:color w:val="2D2A30"/>
          <w:sz w:val="20"/>
        </w:rPr>
        <w:t>”) under the Company’s shelf registration statement on Form F-3 (File No. 333-</w:t>
      </w:r>
      <w:r>
        <w:rPr>
          <w:rFonts w:ascii="Times New Roman;Times;Serif" w:hAnsi="Times New Roman;Times;Serif"/>
          <w:b w:val="false"/>
          <w:i w:val="false"/>
          <w:caps w:val="false"/>
          <w:smallCaps w:val="false"/>
          <w:sz w:val="20"/>
        </w:rPr>
        <w:t>296153</w:t>
      </w:r>
      <w:r>
        <w:rPr>
          <w:rFonts w:ascii="Times New Roman;Times;Serif" w:hAnsi="Times New Roman;Times;Serif"/>
          <w:b w:val="false"/>
          <w:i w:val="false"/>
          <w:caps w:val="false"/>
          <w:smallCaps w:val="false"/>
          <w:color w:val="2D2A30"/>
          <w:sz w:val="20"/>
        </w:rPr>
        <w:t>) initially filed with the United States Securities and Exchange Commission (the “</w:t>
      </w:r>
      <w:r>
        <w:rPr>
          <w:rFonts w:ascii="Times New Roman;Times;Serif" w:hAnsi="Times New Roman;Times;Serif"/>
          <w:b/>
          <w:i w:val="false"/>
          <w:caps w:val="false"/>
          <w:smallCaps w:val="false"/>
          <w:color w:val="2D2A30"/>
          <w:sz w:val="20"/>
        </w:rPr>
        <w:t>Commission</w:t>
      </w:r>
      <w:r>
        <w:rPr>
          <w:rFonts w:ascii="Times New Roman;Times;Serif" w:hAnsi="Times New Roman;Times;Serif"/>
          <w:b w:val="false"/>
          <w:i w:val="false"/>
          <w:caps w:val="false"/>
          <w:smallCaps w:val="false"/>
          <w:color w:val="2D2A30"/>
          <w:sz w:val="20"/>
        </w:rPr>
        <w:t>”) on 6 August 2026, as amended (the "</w:t>
      </w:r>
      <w:r>
        <w:rPr>
          <w:rFonts w:ascii="Times New Roman;Times;Serif" w:hAnsi="Times New Roman;Times;Serif"/>
          <w:b/>
          <w:i w:val="false"/>
          <w:caps w:val="false"/>
          <w:smallCaps w:val="false"/>
          <w:color w:val="2D2A30"/>
          <w:sz w:val="20"/>
        </w:rPr>
        <w:t>Registration Statement</w:t>
      </w:r>
      <w:r>
        <w:rPr>
          <w:rFonts w:ascii="Times New Roman;Times;Serif" w:hAnsi="Times New Roman;Times;Serif"/>
          <w:b w:val="false"/>
          <w:i w:val="false"/>
          <w:caps w:val="false"/>
          <w:smallCaps w:val="false"/>
          <w:color w:val="2D2A30"/>
          <w:sz w:val="20"/>
        </w:rPr>
        <w:t>") and was declared effective by the Commission on 17 August 2026, the base prospectus contained in the Registration Statement (the “</w:t>
      </w:r>
      <w:r>
        <w:rPr>
          <w:rFonts w:ascii="Times New Roman;Times;Serif" w:hAnsi="Times New Roman;Times;Serif"/>
          <w:b/>
          <w:i w:val="false"/>
          <w:caps w:val="false"/>
          <w:smallCaps w:val="false"/>
          <w:color w:val="2D2A30"/>
          <w:sz w:val="20"/>
        </w:rPr>
        <w:t>Base Prospectus</w:t>
      </w:r>
      <w:r>
        <w:rPr>
          <w:rFonts w:ascii="Times New Roman;Times;Serif" w:hAnsi="Times New Roman;Times;Serif"/>
          <w:b w:val="false"/>
          <w:i w:val="false"/>
          <w:caps w:val="false"/>
          <w:smallCaps w:val="false"/>
          <w:color w:val="2D2A30"/>
          <w:sz w:val="20"/>
        </w:rPr>
        <w:t>”) and prospectus supplement filed with the Commission on or about the date hereof (the “</w:t>
      </w:r>
      <w:r>
        <w:rPr>
          <w:rFonts w:ascii="Times New Roman;Times;Serif" w:hAnsi="Times New Roman;Times;Serif"/>
          <w:b/>
          <w:i w:val="false"/>
          <w:caps w:val="false"/>
          <w:smallCaps w:val="false"/>
          <w:color w:val="2D2A30"/>
          <w:sz w:val="20"/>
        </w:rPr>
        <w:t>Prospectus Supplement</w:t>
      </w:r>
      <w:r>
        <w:rPr>
          <w:rFonts w:ascii="Times New Roman;Times;Serif" w:hAnsi="Times New Roman;Times;Serif"/>
          <w:b w:val="false"/>
          <w:i w:val="false"/>
          <w:caps w:val="false"/>
          <w:smallCaps w:val="false"/>
          <w:color w:val="2D2A30"/>
          <w:sz w:val="20"/>
        </w:rPr>
        <w:t>” and collectively with the Base Supplement, the “</w:t>
      </w:r>
      <w:r>
        <w:rPr>
          <w:rFonts w:ascii="Times New Roman;Times;Serif" w:hAnsi="Times New Roman;Times;Serif"/>
          <w:b/>
          <w:i w:val="false"/>
          <w:caps w:val="false"/>
          <w:smallCaps w:val="false"/>
          <w:color w:val="2D2A30"/>
          <w:sz w:val="20"/>
        </w:rPr>
        <w:t>Prospectus</w:t>
      </w:r>
      <w:r>
        <w:rPr>
          <w:rFonts w:ascii="Times New Roman;Times;Serif" w:hAnsi="Times New Roman;Times;Serif"/>
          <w:b w:val="false"/>
          <w:i w:val="false"/>
          <w:caps w:val="false"/>
          <w:smallCaps w:val="false"/>
          <w:color w:val="2D2A30"/>
          <w:sz w:val="20"/>
        </w:rPr>
        <w:t>”) (which terms do not include any other document or agreement whether or not specifically referred to therein or attached as an exhibit or schedule thereto) filed by the Company with the Commission relating to the registration under the US Securities Act of 1933 (as amended) (the "</w:t>
      </w:r>
      <w:r>
        <w:rPr>
          <w:rFonts w:ascii="Times New Roman;Times;Serif" w:hAnsi="Times New Roman;Times;Serif"/>
          <w:b/>
          <w:i w:val="false"/>
          <w:caps w:val="false"/>
          <w:smallCaps w:val="false"/>
          <w:color w:val="2D2A30"/>
          <w:sz w:val="20"/>
        </w:rPr>
        <w:t>Securities Act</w:t>
      </w:r>
      <w:r>
        <w:rPr>
          <w:rFonts w:ascii="Times New Roman;Times;Serif" w:hAnsi="Times New Roman;Times;Serif"/>
          <w:b w:val="false"/>
          <w:i w:val="false"/>
          <w:caps w:val="false"/>
          <w:smallCaps w:val="false"/>
          <w:color w:val="2D2A30"/>
          <w:sz w:val="20"/>
        </w:rPr>
        <w:t>") of (i) </w:t>
      </w:r>
      <w:r>
        <w:rPr>
          <w:rFonts w:ascii="Times New Roman;Times;Serif" w:hAnsi="Times New Roman;Times;Serif"/>
          <w:b w:val="false"/>
          <w:i w:val="false"/>
          <w:caps w:val="false"/>
          <w:smallCaps w:val="false"/>
          <w:sz w:val="20"/>
        </w:rPr>
        <w:t>a senior 8% original issue discount convertible promissory note in the principal amount US$4,347,826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2D2A30"/>
          <w:sz w:val="20"/>
        </w:rPr>
        <w:t>, (ii) the issuance of 1,500,000 ordinary shares with a nominal or par value of US$0.0001 each in the capital of the Company (the “</w:t>
      </w:r>
      <w:r>
        <w:rPr>
          <w:rFonts w:ascii="Times New Roman;Times;Serif" w:hAnsi="Times New Roman;Times;Serif"/>
          <w:b/>
          <w:i w:val="false"/>
          <w:caps w:val="false"/>
          <w:smallCaps w:val="false"/>
          <w:color w:val="2D2A30"/>
          <w:sz w:val="20"/>
        </w:rPr>
        <w:t>Pre-Delivery Shares</w:t>
      </w:r>
      <w:r>
        <w:rPr>
          <w:rFonts w:ascii="Times New Roman;Times;Serif" w:hAnsi="Times New Roman;Times;Serif"/>
          <w:b w:val="false"/>
          <w:i w:val="false"/>
          <w:caps w:val="false"/>
          <w:smallCaps w:val="false"/>
          <w:color w:val="2D2A30"/>
          <w:sz w:val="20"/>
        </w:rPr>
        <w:t>”), (iii) the issuance of the ordinary shares with a nominal or par value of US$0.0001 each upon the conversion, payment or otherwise of the Note (the “</w:t>
      </w:r>
      <w:r>
        <w:rPr>
          <w:rFonts w:ascii="Times New Roman;Times;Serif" w:hAnsi="Times New Roman;Times;Serif"/>
          <w:b/>
          <w:i w:val="false"/>
          <w:caps w:val="false"/>
          <w:smallCaps w:val="false"/>
          <w:color w:val="2D2A30"/>
          <w:sz w:val="20"/>
        </w:rPr>
        <w:t>Conversion Shares</w:t>
      </w:r>
      <w:r>
        <w:rPr>
          <w:rFonts w:ascii="Times New Roman;Times;Serif" w:hAnsi="Times New Roman;Times;Serif"/>
          <w:b w:val="false"/>
          <w:i w:val="false"/>
          <w:caps w:val="false"/>
          <w:smallCaps w:val="false"/>
          <w:color w:val="2D2A30"/>
          <w:sz w:val="20"/>
        </w:rPr>
        <w:t>”) and (iv) the issuance of 110,070 ordinary shares with a nominal or par value of US$0.0001 each as discount shares pursuant to the additional 2% original issue discount (the “</w:t>
      </w:r>
      <w:r>
        <w:rPr>
          <w:rFonts w:ascii="Times New Roman;Times;Serif" w:hAnsi="Times New Roman;Times;Serif"/>
          <w:b/>
          <w:i w:val="false"/>
          <w:caps w:val="false"/>
          <w:smallCaps w:val="false"/>
          <w:color w:val="2D2A30"/>
          <w:sz w:val="20"/>
        </w:rPr>
        <w:t>Discount Shares</w:t>
      </w:r>
      <w:r>
        <w:rPr>
          <w:rFonts w:ascii="Times New Roman;Times;Serif" w:hAnsi="Times New Roman;Times;Serif"/>
          <w:b w:val="false"/>
          <w:i w:val="false"/>
          <w:caps w:val="false"/>
          <w:smallCaps w:val="false"/>
          <w:color w:val="2D2A30"/>
          <w:sz w:val="20"/>
        </w:rPr>
        <w:t>”, and together with the Pre-Delivery Shares and the Conversion Shares, the “</w:t>
      </w:r>
      <w:r>
        <w:rPr>
          <w:rFonts w:ascii="Times New Roman;Times;Serif" w:hAnsi="Times New Roman;Times;Serif"/>
          <w:b/>
          <w:i w:val="false"/>
          <w:caps w:val="false"/>
          <w:smallCaps w:val="false"/>
          <w:color w:val="2D2A30"/>
          <w:sz w:val="20"/>
        </w:rPr>
        <w:t>Shares</w:t>
      </w:r>
      <w:r>
        <w:rPr>
          <w:rFonts w:ascii="Times New Roman;Times;Serif" w:hAnsi="Times New Roman;Times;Serif"/>
          <w:b w:val="false"/>
          <w:i w:val="false"/>
          <w:caps w:val="false"/>
          <w:smallCaps w:val="false"/>
          <w:color w:val="2D2A3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D2A30"/>
          <w:sz w:val="20"/>
        </w:rPr>
        <w:t>in each case, as described further in the Prospectus and subject to and in accordance with the terms and conditions of the Transaction Documents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0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3050" w:type="dxa"/>
            <w:tcBorders/>
            <w:vAlign w:val="center"/>
          </w:tcPr>
          <w:p>
            <w:pPr>
              <w:pStyle w:val="TableContents"/>
              <w:bidi w:val="0"/>
              <w:spacing w:before="0" w:after="283"/>
              <w:jc w:val="both"/>
              <w:rPr>
                <w:b/>
              </w:rPr>
            </w:pPr>
            <w:r>
              <w:rPr>
                <w:b/>
              </w:rPr>
              <w:t>DOCUMENTS REVIEWED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copies of the following documents: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1298"/>
        <w:gridCol w:w="8778"/>
      </w:tblGrid>
      <w:tr>
        <w:trPr/>
        <w:tc>
          <w:tcPr>
            <w:tcW w:w="12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pPr>
            <w:r>
              <w:rPr/>
              <w:t>1.1.</w:t>
            </w:r>
          </w:p>
        </w:tc>
        <w:tc>
          <w:tcPr>
            <w:tcW w:w="8778"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2065"/>
        <w:gridCol w:w="7934"/>
      </w:tblGrid>
      <w:tr>
        <w:trPr/>
        <w:tc>
          <w:tcPr>
            <w:tcW w:w="206"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spacing w:before="0" w:after="283"/>
              <w:jc w:val="both"/>
              <w:rPr/>
            </w:pPr>
            <w:r>
              <w:rPr/>
              <w:t>the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1.3.</w:t>
            </w:r>
          </w:p>
        </w:tc>
        <w:tc>
          <w:tcPr>
            <w:tcW w:w="9822" w:type="dxa"/>
            <w:tcBorders/>
            <w:vAlign w:val="center"/>
          </w:tcPr>
          <w:p>
            <w:pPr>
              <w:pStyle w:val="TableContents"/>
              <w:bidi w:val="0"/>
              <w:spacing w:before="0" w:after="283"/>
              <w:jc w:val="both"/>
              <w:rPr/>
            </w:pPr>
            <w:r>
              <w:rPr/>
              <w:t>the securities purchase agreement made between the Company and certain institutional investor (the “</w:t>
            </w:r>
            <w:r>
              <w:rPr>
                <w:b/>
              </w:rPr>
              <w:t>Investor</w:t>
            </w:r>
            <w:r>
              <w:rPr/>
              <w:t>”) dated 24 September 2026 relating to the issue of the Note (the “</w:t>
            </w:r>
            <w:r>
              <w:rPr>
                <w:b/>
              </w:rPr>
              <w:t>Securities Purchase Agreement</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1"/>
        <w:gridCol w:w="9817"/>
      </w:tblGrid>
      <w:tr>
        <w:trPr/>
        <w:tc>
          <w:tcPr>
            <w:tcW w:w="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1.4.</w:t>
            </w:r>
          </w:p>
        </w:tc>
        <w:tc>
          <w:tcPr>
            <w:tcW w:w="9817" w:type="dxa"/>
            <w:tcBorders/>
            <w:vAlign w:val="center"/>
          </w:tcPr>
          <w:p>
            <w:pPr>
              <w:pStyle w:val="TableContents"/>
              <w:bidi w:val="0"/>
              <w:spacing w:before="0" w:after="283"/>
              <w:jc w:val="both"/>
              <w:rPr/>
            </w:pPr>
            <w:r>
              <w:rPr/>
              <w:t>the form of the senior 8% original issue discount convertible promissory note to be issued by the Company to the Investor as the holder of the Note (the “</w:t>
            </w:r>
            <w:r>
              <w:rPr>
                <w:b/>
              </w:rPr>
              <w:t>Convertible Note Agreement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listed in items 1.1 through 1.4 above are herein sometimes collectively referred to as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and the documents listed in items 1.3 and 1.4 above are herein sometimes collectively referred to as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xml:space="preserve">” (which terms do not </w:t>
      </w:r>
      <w:r>
        <w:rPr>
          <w:rFonts w:ascii="Times New Roman;Times;Serif" w:hAnsi="Times New Roman;Times;Serif"/>
          <w:b w:val="false"/>
          <w:i w:val="false"/>
          <w:caps w:val="false"/>
          <w:smallCaps w:val="false"/>
          <w:color w:val="2D2A30"/>
          <w:sz w:val="20"/>
        </w:rPr>
        <w:t>include</w:t>
      </w:r>
      <w:r>
        <w:rPr>
          <w:rFonts w:ascii="Times New Roman;Times;Serif" w:hAnsi="Times New Roman;Times;Serif"/>
          <w:b w:val="false"/>
          <w:i w:val="false"/>
          <w:caps w:val="false"/>
          <w:smallCaps w:val="false"/>
          <w:sz w:val="20"/>
        </w:rPr>
        <w:t xml:space="preserve"> any other instrument or agreement whether or not specifically referred to therein or attached as an exhibit or schedule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reviewed copies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0"/>
        <w:gridCol w:w="9818"/>
      </w:tblGrid>
      <w:tr>
        <w:trPr/>
        <w:tc>
          <w:tcPr>
            <w:tcW w:w="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1.5.</w:t>
            </w:r>
          </w:p>
        </w:tc>
        <w:tc>
          <w:tcPr>
            <w:tcW w:w="9818" w:type="dxa"/>
            <w:tcBorders/>
            <w:vAlign w:val="center"/>
          </w:tcPr>
          <w:p>
            <w:pPr>
              <w:pStyle w:val="TableContents"/>
              <w:bidi w:val="0"/>
              <w:spacing w:before="0" w:after="283"/>
              <w:jc w:val="both"/>
              <w:rPr/>
            </w:pPr>
            <w:r>
              <w:rPr/>
              <w:t>the amended and restated memorandum and articles of association of the Company each certified by an assistant secretary of the Company on 18 September 2026 (the “</w:t>
            </w:r>
            <w:r>
              <w:rPr>
                <w:b/>
              </w:rPr>
              <w:t>Current M&amp;A</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7"/>
        <w:gridCol w:w="9791"/>
      </w:tblGrid>
      <w:tr>
        <w:trPr/>
        <w:tc>
          <w:tcPr>
            <w:tcW w:w="3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1.6.</w:t>
            </w:r>
          </w:p>
        </w:tc>
        <w:tc>
          <w:tcPr>
            <w:tcW w:w="9791" w:type="dxa"/>
            <w:tcBorders/>
            <w:vAlign w:val="center"/>
          </w:tcPr>
          <w:p>
            <w:pPr>
              <w:pStyle w:val="TableContents"/>
              <w:bidi w:val="0"/>
              <w:spacing w:before="0" w:after="283"/>
              <w:jc w:val="both"/>
              <w:rPr/>
            </w:pPr>
            <w:r>
              <w:rPr/>
              <w:t>the written resolutions of all of the directors of the Company dated 23 September 2026 (the “</w:t>
            </w:r>
            <w:r>
              <w:rPr>
                <w:b/>
              </w:rPr>
              <w:t>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6"/>
        <w:gridCol w:w="9802"/>
      </w:tblGrid>
      <w:tr>
        <w:trPr/>
        <w:tc>
          <w:tcPr>
            <w:tcW w:w="3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1.7.</w:t>
            </w:r>
          </w:p>
        </w:tc>
        <w:tc>
          <w:tcPr>
            <w:tcW w:w="9802" w:type="dxa"/>
            <w:tcBorders/>
            <w:vAlign w:val="center"/>
          </w:tcPr>
          <w:p>
            <w:pPr>
              <w:pStyle w:val="TableContents"/>
              <w:bidi w:val="0"/>
              <w:spacing w:before="0" w:after="283"/>
              <w:jc w:val="both"/>
              <w:rPr/>
            </w:pPr>
            <w:r>
              <w:rPr/>
              <w:t>a waiver and consent letter signed by GRAND FORTUNE CAPITAL, LLC to the Company dated 21 May 2026 (the “</w:t>
            </w:r>
            <w:r>
              <w:rPr>
                <w:b/>
              </w:rPr>
              <w:t>Waiver</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0"/>
        <w:gridCol w:w="9818"/>
      </w:tblGrid>
      <w:tr>
        <w:trPr/>
        <w:tc>
          <w:tcPr>
            <w:tcW w:w="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1.8.</w:t>
            </w:r>
          </w:p>
        </w:tc>
        <w:tc>
          <w:tcPr>
            <w:tcW w:w="9818" w:type="dxa"/>
            <w:tcBorders/>
            <w:vAlign w:val="center"/>
          </w:tcPr>
          <w:p>
            <w:pPr>
              <w:pStyle w:val="TableContents"/>
              <w:bidi w:val="0"/>
              <w:spacing w:before="0" w:after="283"/>
              <w:jc w:val="both"/>
              <w:rPr/>
            </w:pPr>
            <w:r>
              <w:rPr/>
              <w:t>a certificate of good standing (the “</w:t>
            </w:r>
            <w:r>
              <w:rPr>
                <w:b/>
              </w:rPr>
              <w:t>Certificate of Good Standing</w:t>
            </w:r>
            <w:r>
              <w:rPr/>
              <w:t>”) issued by the Registrar of Companies in relation to the Company on 17 September 2026 (the “</w:t>
            </w:r>
            <w:r>
              <w:rPr>
                <w:b/>
              </w:rPr>
              <w:t>Certificate Date</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1"/>
        <w:gridCol w:w="9807"/>
      </w:tblGrid>
      <w:tr>
        <w:trPr/>
        <w:tc>
          <w:tcPr>
            <w:tcW w:w="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1.9.</w:t>
            </w:r>
          </w:p>
        </w:tc>
        <w:tc>
          <w:tcPr>
            <w:tcW w:w="9807" w:type="dxa"/>
            <w:tcBorders/>
            <w:vAlign w:val="center"/>
          </w:tcPr>
          <w:p>
            <w:pPr>
              <w:pStyle w:val="TableContents"/>
              <w:bidi w:val="0"/>
              <w:spacing w:before="0" w:after="283"/>
              <w:jc w:val="both"/>
              <w:rPr/>
            </w:pPr>
            <w:r>
              <w:rPr/>
              <w:t>such other documents and made such enquiries as to questions of law as we have deemed necessary in order to render the opinion set forth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006"/>
        <w:gridCol w:w="9008"/>
      </w:tblGrid>
      <w:tr>
        <w:trPr/>
        <w:tc>
          <w:tcPr>
            <w:tcW w:w="19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b/>
                <w:caps/>
              </w:rPr>
            </w:pPr>
            <w:r>
              <w:rPr>
                <w:b/>
                <w:caps/>
              </w:rPr>
              <w:t>2.</w:t>
            </w:r>
          </w:p>
        </w:tc>
        <w:tc>
          <w:tcPr>
            <w:tcW w:w="9008" w:type="dxa"/>
            <w:tcBorders/>
            <w:vAlign w:val="center"/>
          </w:tcPr>
          <w:p>
            <w:pPr>
              <w:pStyle w:val="TableContents"/>
              <w:bidi w:val="0"/>
              <w:spacing w:before="0" w:after="283"/>
              <w:jc w:val="both"/>
              <w:rPr>
                <w:b/>
                <w:caps/>
              </w:rPr>
            </w:pPr>
            <w:r>
              <w:rPr>
                <w:b/>
                <w:caps/>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2.1.</w:t>
            </w:r>
          </w:p>
        </w:tc>
        <w:tc>
          <w:tcPr>
            <w:tcW w:w="9825" w:type="dxa"/>
            <w:tcBorders/>
            <w:vAlign w:val="center"/>
          </w:tcPr>
          <w:p>
            <w:pPr>
              <w:pStyle w:val="TableContents"/>
              <w:bidi w:val="0"/>
              <w:spacing w:before="0" w:after="283"/>
              <w:jc w:val="both"/>
              <w:rPr/>
            </w:pPr>
            <w:r>
              <w:rPr/>
              <w:t>the genuineness and authenticity of all signatures and the conformity to the originals of all copies (whether or not certified) examined by us and the accuracy, authenticity and completeness of the originals from which such copies were taken;</w:t>
            </w:r>
          </w:p>
        </w:tc>
      </w:tr>
    </w:tbl>
    <w:p>
      <w:pPr>
        <w:pStyle w:val="TextBody"/>
        <w:bidi w:val="0"/>
        <w:spacing w:before="0" w:after="0"/>
        <w:ind w:left="0" w:right="0" w:hanging="0"/>
        <w:jc w:val="left"/>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75"/>
        <w:gridCol w:w="1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conyers.com | 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1"/>
        <w:gridCol w:w="9827"/>
      </w:tblGrid>
      <w:tr>
        <w:trPr/>
        <w:tc>
          <w:tcPr>
            <w:tcW w:w="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2.2.</w:t>
            </w:r>
          </w:p>
        </w:tc>
        <w:tc>
          <w:tcPr>
            <w:tcW w:w="9827" w:type="dxa"/>
            <w:tcBorders/>
            <w:vAlign w:val="center"/>
          </w:tcPr>
          <w:p>
            <w:pPr>
              <w:pStyle w:val="TableContents"/>
              <w:bidi w:val="0"/>
              <w:spacing w:before="0" w:after="283"/>
              <w:jc w:val="both"/>
              <w:rPr/>
            </w:pPr>
            <w:r>
              <w:rPr/>
              <w:t>that where a document has been examined by us in draft form, it will be or has been executed and/or filed in the form of that draft, and where a number of drafts of a document have been examined by us all changes thereto have been marked or otherwise drawn to our attention;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4"/>
        <w:gridCol w:w="9814"/>
      </w:tblGrid>
      <w:tr>
        <w:trPr/>
        <w:tc>
          <w:tcPr>
            <w:tcW w:w="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2.3.</w:t>
            </w:r>
          </w:p>
        </w:tc>
        <w:tc>
          <w:tcPr>
            <w:tcW w:w="9814" w:type="dxa"/>
            <w:tcBorders/>
            <w:vAlign w:val="center"/>
          </w:tcPr>
          <w:p>
            <w:pPr>
              <w:pStyle w:val="TableContents"/>
              <w:bidi w:val="0"/>
              <w:spacing w:before="0" w:after="283"/>
              <w:jc w:val="both"/>
              <w:rPr>
                <w:color w:val="2D2A30"/>
              </w:rPr>
            </w:pPr>
            <w:r>
              <w:rPr>
                <w:color w:val="2D2A30"/>
              </w:rPr>
              <w:t>the capacity, power and authority of each of the parties to the Documents, other than the Company, to enter into and perform its respective obligations under the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2"/>
        <w:gridCol w:w="9816"/>
      </w:tblGrid>
      <w:tr>
        <w:trPr/>
        <w:tc>
          <w:tcPr>
            <w:tcW w:w="3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2.4.</w:t>
            </w:r>
          </w:p>
        </w:tc>
        <w:tc>
          <w:tcPr>
            <w:tcW w:w="9816" w:type="dxa"/>
            <w:tcBorders/>
            <w:vAlign w:val="center"/>
          </w:tcPr>
          <w:p>
            <w:pPr>
              <w:pStyle w:val="TableContents"/>
              <w:bidi w:val="0"/>
              <w:spacing w:before="0" w:after="283"/>
              <w:jc w:val="both"/>
              <w:rPr>
                <w:color w:val="2D2A30"/>
              </w:rPr>
            </w:pPr>
            <w:r>
              <w:rPr>
                <w:color w:val="2D2A30"/>
              </w:rPr>
              <w:t>the due execution and delivery of the Documents by each of the parties thereto, other than the Company, and the physical delivery thereof by with an intention to be bound thereby;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9"/>
        <w:gridCol w:w="9799"/>
      </w:tblGrid>
      <w:tr>
        <w:trPr/>
        <w:tc>
          <w:tcPr>
            <w:tcW w:w="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2.5.</w:t>
            </w:r>
          </w:p>
        </w:tc>
        <w:tc>
          <w:tcPr>
            <w:tcW w:w="9799" w:type="dxa"/>
            <w:tcBorders/>
            <w:vAlign w:val="center"/>
          </w:tcPr>
          <w:p>
            <w:pPr>
              <w:pStyle w:val="TableContents"/>
              <w:bidi w:val="0"/>
              <w:spacing w:before="0" w:after="283"/>
              <w:jc w:val="both"/>
              <w:rPr/>
            </w:pPr>
            <w:r>
              <w:rPr/>
              <w:t>the accuracy and completeness of all factual representations made in the Documents and other documents reviewed by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409"/>
        <w:gridCol w:w="9756"/>
      </w:tblGrid>
      <w:tr>
        <w:trPr/>
        <w:tc>
          <w:tcPr>
            <w:tcW w:w="4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2.6.</w:t>
            </w:r>
          </w:p>
        </w:tc>
        <w:tc>
          <w:tcPr>
            <w:tcW w:w="9756" w:type="dxa"/>
            <w:tcBorders/>
            <w:vAlign w:val="center"/>
          </w:tcPr>
          <w:p>
            <w:pPr>
              <w:pStyle w:val="TableContents"/>
              <w:bidi w:val="0"/>
              <w:spacing w:before="0" w:after="283"/>
              <w:jc w:val="both"/>
              <w:rPr/>
            </w:pPr>
            <w:r>
              <w:rPr/>
              <w:t>that the issuance and sale of the Note and the Shares will be in accordance with the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2.7.</w:t>
            </w:r>
          </w:p>
        </w:tc>
        <w:tc>
          <w:tcPr>
            <w:tcW w:w="9820" w:type="dxa"/>
            <w:tcBorders/>
            <w:vAlign w:val="center"/>
          </w:tcPr>
          <w:p>
            <w:pPr>
              <w:pStyle w:val="TableContents"/>
              <w:bidi w:val="0"/>
              <w:spacing w:before="0" w:after="283"/>
              <w:jc w:val="both"/>
              <w:rPr/>
            </w:pPr>
            <w:r>
              <w:rPr/>
              <w:t>that the Resolutions were passed at one or more duly convened, constituted and quorate meetings or by unanimous written resolutions, remain in full force and effect and have not been rescinded or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7"/>
        <w:gridCol w:w="9811"/>
      </w:tblGrid>
      <w:tr>
        <w:trPr/>
        <w:tc>
          <w:tcPr>
            <w:tcW w:w="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2.8.</w:t>
            </w:r>
          </w:p>
        </w:tc>
        <w:tc>
          <w:tcPr>
            <w:tcW w:w="9811" w:type="dxa"/>
            <w:tcBorders/>
            <w:vAlign w:val="center"/>
          </w:tcPr>
          <w:p>
            <w:pPr>
              <w:pStyle w:val="TableContents"/>
              <w:bidi w:val="0"/>
              <w:spacing w:before="0" w:after="283"/>
              <w:jc w:val="both"/>
              <w:rPr/>
            </w:pPr>
            <w:r>
              <w:rPr/>
              <w:t>that upon the issue of any Shares, the Company will receive consideration for the full issue price thereof which shall be equal to at least the par value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6"/>
        <w:gridCol w:w="9802"/>
      </w:tblGrid>
      <w:tr>
        <w:trPr/>
        <w:tc>
          <w:tcPr>
            <w:tcW w:w="3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2.9.</w:t>
            </w:r>
          </w:p>
        </w:tc>
        <w:tc>
          <w:tcPr>
            <w:tcW w:w="9802" w:type="dxa"/>
            <w:tcBorders/>
            <w:vAlign w:val="center"/>
          </w:tcPr>
          <w:p>
            <w:pPr>
              <w:pStyle w:val="TableContents"/>
              <w:bidi w:val="0"/>
              <w:spacing w:before="0" w:after="283"/>
              <w:jc w:val="both"/>
              <w:rPr/>
            </w:pPr>
            <w:r>
              <w:rPr/>
              <w:t>that the Company will have sufficient authorised and unissued share capital to effect the issue of the Shares at the time of issuance;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7"/>
        <w:gridCol w:w="9701"/>
      </w:tblGrid>
      <w:tr>
        <w:trPr/>
        <w:tc>
          <w:tcPr>
            <w:tcW w:w="3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2.10.</w:t>
            </w:r>
          </w:p>
        </w:tc>
        <w:tc>
          <w:tcPr>
            <w:tcW w:w="9701" w:type="dxa"/>
            <w:tcBorders/>
            <w:vAlign w:val="center"/>
          </w:tcPr>
          <w:p>
            <w:pPr>
              <w:pStyle w:val="TableContents"/>
              <w:bidi w:val="0"/>
              <w:spacing w:before="0" w:after="283"/>
              <w:jc w:val="both"/>
              <w:rPr/>
            </w:pPr>
            <w:r>
              <w:rPr/>
              <w:t>the capacity, power and authority of all parties other than the Company to enter into and perform their obligations under Transaction Documents, and the due execution and delivery thereof by each party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4"/>
        <w:gridCol w:w="9704"/>
      </w:tblGrid>
      <w:tr>
        <w:trPr/>
        <w:tc>
          <w:tcPr>
            <w:tcW w:w="3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2.11.</w:t>
            </w:r>
          </w:p>
        </w:tc>
        <w:tc>
          <w:tcPr>
            <w:tcW w:w="9704" w:type="dxa"/>
            <w:tcBorders/>
            <w:vAlign w:val="center"/>
          </w:tcPr>
          <w:p>
            <w:pPr>
              <w:pStyle w:val="TableContents"/>
              <w:bidi w:val="0"/>
              <w:spacing w:before="0" w:after="283"/>
              <w:jc w:val="both"/>
              <w:rPr/>
            </w:pPr>
            <w:r>
              <w:rPr/>
              <w:t>the validity and binding effect under the internal laws of the State of New York, United States of America of the Transaction Documents which are expressed to be governed by such Foreign Laws in accordance with their respective terms;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5"/>
        <w:gridCol w:w="9713"/>
      </w:tblGrid>
      <w:tr>
        <w:trPr/>
        <w:tc>
          <w:tcPr>
            <w:tcW w:w="3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t>2.12.</w:t>
            </w:r>
          </w:p>
        </w:tc>
        <w:tc>
          <w:tcPr>
            <w:tcW w:w="9713" w:type="dxa"/>
            <w:tcBorders/>
            <w:vAlign w:val="center"/>
          </w:tcPr>
          <w:p>
            <w:pPr>
              <w:pStyle w:val="TableContents"/>
              <w:bidi w:val="0"/>
              <w:spacing w:before="0" w:after="283"/>
              <w:jc w:val="both"/>
              <w:rPr/>
            </w:pPr>
            <w:r>
              <w:rPr/>
              <w:t xml:space="preserve">the validity and binding effect under the laws of the United States of America of the Registration Statement and the Prospectus and that the Registration Statement and the Prospectus </w:t>
            </w:r>
            <w:r>
              <w:rPr>
                <w:color w:val="2D2A30"/>
              </w:rPr>
              <w:t>will or have been duly filed with and declared effective by the Commission prior to, or concurrent with, the sale and/or issuance of the Note and the Shares (as applicable)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5"/>
        <w:gridCol w:w="9693"/>
      </w:tblGrid>
      <w:tr>
        <w:trPr/>
        <w:tc>
          <w:tcPr>
            <w:tcW w:w="3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pPr>
            <w:r>
              <w:rPr/>
              <w:t>2.13.</w:t>
            </w:r>
          </w:p>
        </w:tc>
        <w:tc>
          <w:tcPr>
            <w:tcW w:w="9693" w:type="dxa"/>
            <w:tcBorders/>
            <w:vAlign w:val="center"/>
          </w:tcPr>
          <w:p>
            <w:pPr>
              <w:pStyle w:val="TableContents"/>
              <w:bidi w:val="0"/>
              <w:spacing w:before="0" w:after="283"/>
              <w:jc w:val="both"/>
              <w:rPr/>
            </w:pPr>
            <w:r>
              <w:rPr/>
              <w:t>that there is no provision of the law of any jurisdiction, other than the Cayman Islands, which would have any implication in relation to the opinions expressed 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81"/>
        <w:gridCol w:w="9687"/>
      </w:tblGrid>
      <w:tr>
        <w:trPr/>
        <w:tc>
          <w:tcPr>
            <w:tcW w:w="3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pPr>
            <w:r>
              <w:rPr/>
              <w:t>2.14.</w:t>
            </w:r>
          </w:p>
        </w:tc>
        <w:tc>
          <w:tcPr>
            <w:tcW w:w="9687" w:type="dxa"/>
            <w:tcBorders/>
            <w:vAlign w:val="center"/>
          </w:tcPr>
          <w:p>
            <w:pPr>
              <w:pStyle w:val="TableContents"/>
              <w:bidi w:val="0"/>
              <w:spacing w:before="0" w:after="283"/>
              <w:jc w:val="both"/>
              <w:rPr/>
            </w:pPr>
            <w:r>
              <w:rPr/>
              <w:t>the Company will issue the Note and the Shares in furtherance of its objects as set out in its amended and restated memorandum of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5"/>
        <w:gridCol w:w="9693"/>
      </w:tblGrid>
      <w:tr>
        <w:trPr/>
        <w:tc>
          <w:tcPr>
            <w:tcW w:w="3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pPr>
            <w:r>
              <w:rPr/>
              <w:t>2.15.</w:t>
            </w:r>
          </w:p>
        </w:tc>
        <w:tc>
          <w:tcPr>
            <w:tcW w:w="9693" w:type="dxa"/>
            <w:tcBorders/>
            <w:vAlign w:val="center"/>
          </w:tcPr>
          <w:p>
            <w:pPr>
              <w:pStyle w:val="TableContents"/>
              <w:bidi w:val="0"/>
              <w:spacing w:before="0" w:after="283"/>
              <w:jc w:val="both"/>
              <w:rPr/>
            </w:pPr>
            <w:r>
              <w:rPr/>
              <w:t>no invitation has been or will be made by or on behalf of the Company to the public in the Cayman Islands to subscribe for the Note and the Shares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75"/>
        <w:gridCol w:w="1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conyers.com | 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5"/>
        <w:gridCol w:w="9693"/>
      </w:tblGrid>
      <w:tr>
        <w:trPr/>
        <w:tc>
          <w:tcPr>
            <w:tcW w:w="3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pPr>
            <w:r>
              <w:rPr/>
              <w:t>2.16.</w:t>
            </w:r>
          </w:p>
        </w:tc>
        <w:tc>
          <w:tcPr>
            <w:tcW w:w="9693" w:type="dxa"/>
            <w:tcBorders/>
            <w:vAlign w:val="center"/>
          </w:tcPr>
          <w:p>
            <w:pPr>
              <w:pStyle w:val="TableContents"/>
              <w:bidi w:val="0"/>
              <w:spacing w:before="0" w:after="283"/>
              <w:jc w:val="both"/>
              <w:rPr/>
            </w:pPr>
            <w:r>
              <w:rPr/>
              <w:t xml:space="preserve">the Offering </w:t>
            </w:r>
            <w:r>
              <w:rPr>
                <w:color w:val="2D2A30"/>
              </w:rPr>
              <w:t>and the transactions contemplated under the Transaction Documents complies with the requirements of the applicable rules of the Nasdaq Stock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3"/>
        <w:gridCol w:w="9705"/>
      </w:tblGrid>
      <w:tr>
        <w:trPr/>
        <w:tc>
          <w:tcPr>
            <w:tcW w:w="3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pPr>
            <w:r>
              <w:rPr/>
              <w:t>2.17.</w:t>
            </w:r>
          </w:p>
        </w:tc>
        <w:tc>
          <w:tcPr>
            <w:tcW w:w="9705" w:type="dxa"/>
            <w:tcBorders/>
            <w:vAlign w:val="center"/>
          </w:tcPr>
          <w:p>
            <w:pPr>
              <w:pStyle w:val="TableContents"/>
              <w:bidi w:val="0"/>
              <w:spacing w:before="0" w:after="283"/>
              <w:jc w:val="both"/>
              <w:rPr>
                <w:color w:val="2D2A30"/>
              </w:rPr>
            </w:pPr>
            <w:r>
              <w:rPr>
                <w:color w:val="2D2A30"/>
              </w:rPr>
              <w:t>that there is no contractual or other prohibition or restriction (other than as arising under Cayman Islands law) binding on the Company prohibiting or restricting it from entering into and performing its obligations under the documents reviewed by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3"/>
        <w:gridCol w:w="9705"/>
      </w:tblGrid>
      <w:tr>
        <w:trPr/>
        <w:tc>
          <w:tcPr>
            <w:tcW w:w="3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pPr>
            <w:r>
              <w:rPr/>
              <w:t>2.18.</w:t>
            </w:r>
          </w:p>
        </w:tc>
        <w:tc>
          <w:tcPr>
            <w:tcW w:w="9705" w:type="dxa"/>
            <w:tcBorders/>
            <w:vAlign w:val="center"/>
          </w:tcPr>
          <w:p>
            <w:pPr>
              <w:pStyle w:val="TableContents"/>
              <w:bidi w:val="0"/>
              <w:spacing w:before="0" w:after="283"/>
              <w:jc w:val="both"/>
              <w:rPr>
                <w:color w:val="2D2A30"/>
              </w:rPr>
            </w:pPr>
            <w:r>
              <w:rPr>
                <w:color w:val="2D2A30"/>
              </w:rPr>
              <w:t>each of the Documents reviewed by us are, or will be, legal, valid, binding and enforceable against all relevant parties in accordance with their terms under all relevant laws (other than, with respect to the Company,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7"/>
        <w:gridCol w:w="9691"/>
      </w:tblGrid>
      <w:tr>
        <w:trPr/>
        <w:tc>
          <w:tcPr>
            <w:tcW w:w="3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pPr>
            <w:r>
              <w:rPr/>
              <w:t>2.19.</w:t>
            </w:r>
          </w:p>
        </w:tc>
        <w:tc>
          <w:tcPr>
            <w:tcW w:w="9691" w:type="dxa"/>
            <w:tcBorders/>
            <w:vAlign w:val="center"/>
          </w:tcPr>
          <w:p>
            <w:pPr>
              <w:pStyle w:val="TableContents"/>
              <w:bidi w:val="0"/>
              <w:spacing w:before="0" w:after="283"/>
              <w:jc w:val="both"/>
              <w:rPr>
                <w:color w:val="2D2A30"/>
              </w:rPr>
            </w:pPr>
            <w:r>
              <w:rPr>
                <w:color w:val="2D2A30"/>
              </w:rPr>
              <w:t>that on the date of entering into the Transaction Documents, the Company is and after entering into the Transaction Documents will be able to pay its debts;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4"/>
        <w:gridCol w:w="9704"/>
      </w:tblGrid>
      <w:tr>
        <w:trPr/>
        <w:tc>
          <w:tcPr>
            <w:tcW w:w="3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2.20.</w:t>
            </w:r>
          </w:p>
        </w:tc>
        <w:tc>
          <w:tcPr>
            <w:tcW w:w="9704" w:type="dxa"/>
            <w:tcBorders/>
            <w:vAlign w:val="center"/>
          </w:tcPr>
          <w:p>
            <w:pPr>
              <w:pStyle w:val="TableContents"/>
              <w:bidi w:val="0"/>
              <w:spacing w:before="0" w:after="283"/>
              <w:jc w:val="both"/>
              <w:rPr>
                <w:color w:val="2D2A30"/>
              </w:rPr>
            </w:pPr>
            <w:r>
              <w:rPr>
                <w:color w:val="2D2A30"/>
              </w:rPr>
              <w:t>the Waiver is sufficient to waive all pre-emptive and similar rights under the Current M&amp;A (including schedule 2 thereto) in respect of the issuance of the Note and the allotment and issue of the Shares contemplated by the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4"/>
        <w:gridCol w:w="9694"/>
      </w:tblGrid>
      <w:tr>
        <w:trPr/>
        <w:tc>
          <w:tcPr>
            <w:tcW w:w="3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pPr>
            <w:r>
              <w:rPr/>
              <w:t>2.21.</w:t>
            </w:r>
          </w:p>
        </w:tc>
        <w:tc>
          <w:tcPr>
            <w:tcW w:w="9694" w:type="dxa"/>
            <w:tcBorders/>
            <w:vAlign w:val="center"/>
          </w:tcPr>
          <w:p>
            <w:pPr>
              <w:pStyle w:val="TableContents"/>
              <w:bidi w:val="0"/>
              <w:spacing w:before="0" w:after="283"/>
              <w:jc w:val="both"/>
              <w:rPr>
                <w:color w:val="2D2A30"/>
              </w:rPr>
            </w:pPr>
            <w:r>
              <w:rPr>
                <w:color w:val="2D2A30"/>
              </w:rPr>
              <w:t>the total number of the Shares issuable under the Note is within the number of ordinary shares registered for issuance under the Registration Statement and the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0"/>
        <w:gridCol w:w="9708"/>
      </w:tblGrid>
      <w:tr>
        <w:trPr/>
        <w:tc>
          <w:tcPr>
            <w:tcW w:w="3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2.22.</w:t>
            </w:r>
          </w:p>
        </w:tc>
        <w:tc>
          <w:tcPr>
            <w:tcW w:w="9708" w:type="dxa"/>
            <w:tcBorders/>
            <w:vAlign w:val="center"/>
          </w:tcPr>
          <w:p>
            <w:pPr>
              <w:pStyle w:val="TableContents"/>
              <w:bidi w:val="0"/>
              <w:spacing w:before="0" w:after="283"/>
              <w:jc w:val="both"/>
              <w:rPr>
                <w:color w:val="2D2A30"/>
              </w:rPr>
            </w:pPr>
            <w:r>
              <w:rPr>
                <w:color w:val="2D2A30"/>
              </w:rPr>
              <w:t>to the extent that the payment for any Shares is to be made by way of capitalisation of share premium, the Company has, at the time of issuance of such Shares, sufficient share premium standing to the credit of its share premium account to pay up such Shares in full;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5"/>
        <w:gridCol w:w="9703"/>
      </w:tblGrid>
      <w:tr>
        <w:trPr/>
        <w:tc>
          <w:tcPr>
            <w:tcW w:w="3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pPr>
            <w:r>
              <w:rPr/>
              <w:t>2.23.</w:t>
            </w:r>
          </w:p>
        </w:tc>
        <w:tc>
          <w:tcPr>
            <w:tcW w:w="9703" w:type="dxa"/>
            <w:tcBorders/>
            <w:vAlign w:val="center"/>
          </w:tcPr>
          <w:p>
            <w:pPr>
              <w:pStyle w:val="TableContents"/>
              <w:bidi w:val="0"/>
              <w:spacing w:before="0" w:after="283"/>
              <w:jc w:val="both"/>
              <w:rPr/>
            </w:pPr>
            <w:r>
              <w:rPr>
                <w:color w:val="2D2A30"/>
              </w:rPr>
              <w:t xml:space="preserve">the Current M&amp;A will be revised (if necessary) to authorise any capitalisation of share premium on a non-pro-rata basis for the allotment and issue of the Shares to the Investor contemplated by the Transaction Documents; </w:t>
            </w:r>
            <w:r>
              <w:rPr/>
              <w:t>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696"/>
        <w:gridCol w:w="9457"/>
      </w:tblGrid>
      <w:tr>
        <w:trPr/>
        <w:tc>
          <w:tcPr>
            <w:tcW w:w="5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pPr>
            <w:r>
              <w:rPr/>
              <w:t>2.24.</w:t>
            </w:r>
          </w:p>
        </w:tc>
        <w:tc>
          <w:tcPr>
            <w:tcW w:w="9457" w:type="dxa"/>
            <w:tcBorders/>
            <w:vAlign w:val="center"/>
          </w:tcPr>
          <w:p>
            <w:pPr>
              <w:pStyle w:val="TableContents"/>
              <w:bidi w:val="0"/>
              <w:spacing w:before="0" w:after="283"/>
              <w:jc w:val="both"/>
              <w:rPr/>
            </w:pPr>
            <w:r>
              <w:rPr/>
              <w:t>the Company has not taken any action to appoint a restructuring officer.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844"/>
        <w:gridCol w:w="9201"/>
      </w:tblGrid>
      <w:tr>
        <w:trPr/>
        <w:tc>
          <w:tcPr>
            <w:tcW w:w="1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b/>
                <w:caps/>
              </w:rPr>
            </w:pPr>
            <w:r>
              <w:rPr>
                <w:b/>
                <w:caps/>
              </w:rPr>
              <w:t>3.</w:t>
            </w:r>
          </w:p>
        </w:tc>
        <w:tc>
          <w:tcPr>
            <w:tcW w:w="9201" w:type="dxa"/>
            <w:tcBorders/>
            <w:vAlign w:val="center"/>
          </w:tcPr>
          <w:p>
            <w:pPr>
              <w:pStyle w:val="TableContents"/>
              <w:bidi w:val="0"/>
              <w:spacing w:before="0" w:after="283"/>
              <w:jc w:val="both"/>
              <w:rPr>
                <w:b/>
                <w:caps/>
              </w:rPr>
            </w:pPr>
            <w:r>
              <w:rPr>
                <w:b/>
                <w:caps/>
              </w:rPr>
              <w:t>QUALIFICATIONS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7"/>
        <w:gridCol w:w="9831"/>
      </w:tblGrid>
      <w:tr>
        <w:trPr/>
        <w:tc>
          <w:tcPr>
            <w:tcW w:w="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3.1.</w:t>
            </w:r>
          </w:p>
        </w:tc>
        <w:tc>
          <w:tcPr>
            <w:tcW w:w="9831" w:type="dxa"/>
            <w:tcBorders/>
            <w:vAlign w:val="center"/>
          </w:tcPr>
          <w:p>
            <w:pPr>
              <w:pStyle w:val="TableContents"/>
              <w:bidi w:val="0"/>
              <w:spacing w:before="0" w:after="283"/>
              <w:jc w:val="both"/>
              <w:rPr>
                <w:color w:val="2D2A30"/>
              </w:rPr>
            </w:pPr>
            <w:r>
              <w:rPr>
                <w:color w:val="2D2A30"/>
              </w:rPr>
              <w:t>We have made no investigation of and express no opinion in relation to the laws of any jurisdiction other than the Cayman Islands. This opinion is to be governed by and construed in accordance with the laws of the Cayman Islands and is limited to and is given on the basis of the current law and practice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0"/>
        <w:gridCol w:w="9818"/>
      </w:tblGrid>
      <w:tr>
        <w:trPr/>
        <w:tc>
          <w:tcPr>
            <w:tcW w:w="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3.2.</w:t>
            </w:r>
          </w:p>
        </w:tc>
        <w:tc>
          <w:tcPr>
            <w:tcW w:w="9818" w:type="dxa"/>
            <w:tcBorders/>
            <w:vAlign w:val="center"/>
          </w:tcPr>
          <w:p>
            <w:pPr>
              <w:pStyle w:val="TableContents"/>
              <w:bidi w:val="0"/>
              <w:spacing w:before="0" w:after="283"/>
              <w:jc w:val="both"/>
              <w:rPr>
                <w:color w:val="2D2A30"/>
              </w:rPr>
            </w:pPr>
            <w:r>
              <w:rPr>
                <w:color w:val="2D2A30"/>
              </w:rPr>
              <w:t>This opinion is issued solely for your benefit and use in connection with the matter described herein and is not to be relied upon by any other person, firm or entity or in respect of any other matter.</w:t>
            </w:r>
          </w:p>
        </w:tc>
      </w:tr>
    </w:tbl>
    <w:p>
      <w:pPr>
        <w:pStyle w:val="TextBody"/>
        <w:bidi w:val="0"/>
        <w:spacing w:before="0" w:after="0"/>
        <w:ind w:left="0" w:right="0" w:hanging="0"/>
        <w:jc w:val="left"/>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75"/>
        <w:gridCol w:w="1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conyers.com | 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1542"/>
        <w:gridCol w:w="8370"/>
      </w:tblGrid>
      <w:tr>
        <w:trPr/>
        <w:tc>
          <w:tcPr>
            <w:tcW w:w="2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b/>
                <w:caps/>
              </w:rPr>
            </w:pPr>
            <w:r>
              <w:rPr>
                <w:b/>
                <w:caps/>
              </w:rPr>
              <w:t>4.</w:t>
            </w:r>
          </w:p>
        </w:tc>
        <w:tc>
          <w:tcPr>
            <w:tcW w:w="8370" w:type="dxa"/>
            <w:tcBorders/>
            <w:vAlign w:val="center"/>
          </w:tcPr>
          <w:p>
            <w:pPr>
              <w:pStyle w:val="TableContents"/>
              <w:bidi w:val="0"/>
              <w:spacing w:before="0" w:after="283"/>
              <w:jc w:val="both"/>
              <w:rPr>
                <w:b/>
                <w:caps/>
              </w:rPr>
            </w:pPr>
            <w:r>
              <w:rPr>
                <w:b/>
                <w:caps/>
              </w:rPr>
              <w:t>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and subject to the foregoing,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1"/>
        <w:gridCol w:w="9837"/>
      </w:tblGrid>
      <w:tr>
        <w:trPr/>
        <w:tc>
          <w:tcPr>
            <w:tcW w:w="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4.1.</w:t>
            </w:r>
          </w:p>
        </w:tc>
        <w:tc>
          <w:tcPr>
            <w:tcW w:w="9837" w:type="dxa"/>
            <w:tcBorders/>
            <w:vAlign w:val="center"/>
          </w:tcPr>
          <w:p>
            <w:pPr>
              <w:pStyle w:val="TableContents"/>
              <w:bidi w:val="0"/>
              <w:spacing w:before="0" w:after="283"/>
              <w:jc w:val="both"/>
              <w:rPr/>
            </w:pPr>
            <w:r>
              <w:rPr/>
              <w:t>The Company is duly incorporated and validly existing as an exempted company with limited liability under the laws of the Cayman Islands and, based on the Certificate of Good Standing, is in good standing as at the Certificate Date. Pursuant to the Companies Act (the “</w:t>
            </w:r>
            <w:r>
              <w:rPr>
                <w:b/>
              </w:rPr>
              <w:t>Act</w:t>
            </w:r>
            <w:r>
              <w:rPr/>
              <w:t>”), a company is deemed to be in good standing if all fees and penalties under the Act have been paid and the Registrar of Companies has no knowledge that the Company is in default under the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1"/>
        <w:gridCol w:w="9837"/>
      </w:tblGrid>
      <w:tr>
        <w:trPr/>
        <w:tc>
          <w:tcPr>
            <w:tcW w:w="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4.2.</w:t>
            </w:r>
          </w:p>
        </w:tc>
        <w:tc>
          <w:tcPr>
            <w:tcW w:w="9837" w:type="dxa"/>
            <w:tcBorders/>
            <w:vAlign w:val="center"/>
          </w:tcPr>
          <w:p>
            <w:pPr>
              <w:pStyle w:val="TableContents"/>
              <w:bidi w:val="0"/>
              <w:spacing w:before="0" w:after="283"/>
              <w:jc w:val="both"/>
              <w:rPr/>
            </w:pPr>
            <w:r>
              <w:rPr/>
              <w:t>Based solely on our review of the amended and restated memorandum of association of the Company, the authorised share capital of the Company is US$50,500 divided into 505,000,000 shares of a nominal or par value of US$0.0001 each, consisting of two share classes as follows: (i) 500,000,000 ordinary shares of a nominal or par value of US$0.0001 each and (ii) 5,000,000 series A convertible preferred shares of a nominal or par value of US$0.0001 each.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6"/>
        <w:gridCol w:w="9832"/>
      </w:tblGrid>
      <w:tr>
        <w:trPr/>
        <w:tc>
          <w:tcPr>
            <w:tcW w:w="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4.3.</w:t>
            </w:r>
          </w:p>
        </w:tc>
        <w:tc>
          <w:tcPr>
            <w:tcW w:w="9832" w:type="dxa"/>
            <w:tcBorders/>
            <w:vAlign w:val="center"/>
          </w:tcPr>
          <w:p>
            <w:pPr>
              <w:pStyle w:val="TableContents"/>
              <w:bidi w:val="0"/>
              <w:spacing w:before="0" w:after="283"/>
              <w:jc w:val="both"/>
              <w:rPr/>
            </w:pPr>
            <w:r>
              <w:rPr/>
              <w:t>The issue of the Note and the Shares have been duly authorised and, when issued and paid for in accordance with the Documents, the Shares will be validly issued, fully paid and non-assessable (which term when used herein means that no further sums are required to be paid by the holders thereof in connection with the issue of such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(as an exhibit to a Report of Foreign Private issuer on Form 6-K that is incorporated by reference into the Registration Statement). In giving this consent, we do not hereby admit that we are experts within the meaning of Section 11 of the Securities Act or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i w:val="false"/>
          <w:caps w:val="false"/>
          <w:smallCaps w:val="false"/>
          <w:sz w:val="20"/>
        </w:rPr>
        <w:t>Conyers Dill &amp; Pearman</w:t>
      </w:r>
    </w:p>
    <w:p>
      <w:pPr>
        <w:pStyle w:val="TextBody"/>
        <w:bidi w:val="0"/>
        <w:spacing w:before="0" w:after="0"/>
        <w:ind w:left="0" w:right="0" w:hanging="0"/>
        <w:jc w:val="left"/>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75"/>
        <w:gridCol w:w="1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conyers.com | 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4" w:name="tm2626149d1_ex10-1.htm"/>
      <w:bookmarkStart w:id="5" w:name="kstm2626149d1_ex10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as of September 24, 2026, between Baird Medical Investment Holdings Limited, a Cayman Islands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purchaser identified on the signature pages hereto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an effective registration statement under the Securities Act, the Company desires to issue and sell to the Investor, and the Investor, desires to purchase from the Company, a Note of the Company as more fully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the Investor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words and terms have the meanings set forth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xml:space="preserve"> shall have the meaning ascribed to such term in Section 3.1(j).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Discount</w:t>
      </w:r>
      <w:r>
        <w:rPr>
          <w:rFonts w:ascii="Times New Roman;Times;Serif" w:hAnsi="Times New Roman;Times;Serif"/>
          <w:b w:val="false"/>
          <w:i w:val="false"/>
          <w:caps w:val="false"/>
          <w:smallCaps w:val="false"/>
          <w:sz w:val="20"/>
        </w:rPr>
        <w:t>” shall have the meaning ascribed to such term in Section 2.1(b).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means the applicable beneficial ownership percentage of shares of Common Stock above which the Investor may not convert its Note. The Investor’s initial Beneficial Ownership Limitation with respect to the Investor’s Note and Pre-Delivery Shares shall be as selected by the Investor on its signature page hereto, subject further to the provisions of this Agreement and the Note,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BHCA</w:t>
      </w:r>
      <w:r>
        <w:rPr>
          <w:rFonts w:ascii="Times New Roman;Times;Serif" w:hAnsi="Times New Roman;Times;Serif"/>
          <w:b w:val="false"/>
          <w:i w:val="false"/>
          <w:caps w:val="false"/>
          <w:smallCaps w:val="false"/>
          <w:sz w:val="20"/>
        </w:rPr>
        <w:t>” shall have the meaning ascribed to such term in Section 3.1(vv).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New York,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New York, New York are generally are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means the Memorandum and Articles of Association of a company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purchase and sale of the Note pursuant to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Investor’s obligation to pay the Subscription Amount and (ii) the Company’s obligations to deliver the Note, in each case, have been satisfied or waived, but in no event later than the first Trading Day following the date hereof (or the second Trading Day following the date hereof if this Agreement is signed on a day that is not a Trading Day or after 4:00 pm (New York, New York time) and before midnight (New York, New York time) on a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ordinary shares of the Company, with a par value of $0.0001 each, and any other class of shares into which such ordinary shares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Counsel</w:t>
      </w:r>
      <w:r>
        <w:rPr>
          <w:rFonts w:ascii="Times New Roman;Times;Serif" w:hAnsi="Times New Roman;Times;Serif"/>
          <w:b w:val="false"/>
          <w:i w:val="false"/>
          <w:caps w:val="false"/>
          <w:smallCaps w:val="false"/>
          <w:sz w:val="20"/>
        </w:rPr>
        <w:t>” means with respect to U.S. federal securities Laws and New York law, Pryor Cashman LLP and with respect to Cayman Islands Law Conyers Dill &amp; Pearman.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means all Intellectual Property that is owned or purported to be owned or held for use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IP Agreements</w:t>
      </w:r>
      <w:r>
        <w:rPr>
          <w:rFonts w:ascii="Times New Roman;Times;Serif" w:hAnsi="Times New Roman;Times;Serif"/>
          <w:b w:val="false"/>
          <w:i w:val="false"/>
          <w:caps w:val="false"/>
          <w:smallCaps w:val="false"/>
          <w:sz w:val="20"/>
        </w:rPr>
        <w:t>” means all licenses, sublicenses, consent to use agreements, settlements, coexistence agreements, covenants not to sue, permissions and other contracts (including any right to receive or obligation to pay royalties or any other consideration), whether written or oral, relating to Intellectual Property to which the Company is a party, beneficiary or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IP Registrations</w:t>
      </w:r>
      <w:r>
        <w:rPr>
          <w:rFonts w:ascii="Times New Roman;Times;Serif" w:hAnsi="Times New Roman;Times;Serif"/>
          <w:b w:val="false"/>
          <w:i w:val="false"/>
          <w:caps w:val="false"/>
          <w:smallCaps w:val="false"/>
          <w:sz w:val="20"/>
        </w:rPr>
        <w:t>” means all Company Intellectual Property that is subject to any issuance registration, application or other filing by, to or with any Governmental Authority, or authorized private registrar in any jurisdiction, including registered trademarks, domain names and copyrights, issued and reissued patents and pending applications for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Privacy Policy</w:t>
      </w:r>
      <w:r>
        <w:rPr>
          <w:rFonts w:ascii="Times New Roman;Times;Serif" w:hAnsi="Times New Roman;Times;Serif"/>
          <w:b w:val="false"/>
          <w:i w:val="false"/>
          <w:caps w:val="false"/>
          <w:smallCaps w:val="false"/>
          <w:sz w:val="20"/>
        </w:rPr>
        <w:t>” means each external or internal, past or present privacy policy or privacy or data security-related policy of Company, as well as any representation, obligation or promise of Company under any contract, relating to: (i) the privacy of customers or users of any Company Products, website, products or services operated by or on behalf of Company; and (ii) the collection, storage, hosting, disclosure, transmission, transfer, disposal, other processing or security of any Customer Data or Personal Information, each as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Products</w:t>
      </w:r>
      <w:r>
        <w:rPr>
          <w:rFonts w:ascii="Times New Roman;Times;Serif" w:hAnsi="Times New Roman;Times;Serif"/>
          <w:b w:val="false"/>
          <w:i w:val="false"/>
          <w:caps w:val="false"/>
          <w:smallCaps w:val="false"/>
          <w:sz w:val="20"/>
        </w:rPr>
        <w:t>” means all products and services of the Company that are currently being, or at any time since the Company’s inception have been, offered, licensed, sold, built, installed, designed, distributed, hosted, maintained, supported or otherwise provided or made available by or on behalf of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Systems</w:t>
      </w:r>
      <w:r>
        <w:rPr>
          <w:rFonts w:ascii="Times New Roman;Times;Serif" w:hAnsi="Times New Roman;Times;Serif"/>
          <w:b w:val="false"/>
          <w:i w:val="false"/>
          <w:caps w:val="false"/>
          <w:smallCaps w:val="false"/>
          <w:sz w:val="20"/>
        </w:rPr>
        <w:t>” means all Software, and computer hardware, servers, networks, platforms, peripherals, data communication lines and other information technology equipment and related systems, including any outsourced systems and processes, that are owned or used by Company in the conduct of its business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has the meaning referred to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means Common Stock issuable upon conversion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Customer Data</w:t>
      </w:r>
      <w:r>
        <w:rPr>
          <w:rFonts w:ascii="Times New Roman;Times;Serif" w:hAnsi="Times New Roman;Times;Serif"/>
          <w:b w:val="false"/>
          <w:i w:val="false"/>
          <w:caps w:val="false"/>
          <w:smallCaps w:val="false"/>
          <w:sz w:val="20"/>
        </w:rPr>
        <w:t>” means all data, text, content, information or other material uploaded or otherwise transmitted by Company’s customers to, or stored by Company’s customers on or in Company Products or any service of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Schedules</w:t>
      </w:r>
      <w:r>
        <w:rPr>
          <w:rFonts w:ascii="Times New Roman;Times;Serif" w:hAnsi="Times New Roman;Times;Serif"/>
          <w:b w:val="false"/>
          <w:i w:val="false"/>
          <w:caps w:val="false"/>
          <w:smallCaps w:val="false"/>
          <w:sz w:val="20"/>
        </w:rPr>
        <w:t>” refer to the schedules attached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New York time) and before midnight (New York, New York time) on any Trading Day, 9:01 a.m. (New York, New York time) on the Trading Day immediately following the date hereof, and (ii) if this Agreement is signed between midnight (New York, New York time) and 9:00 a.m. (New York, New York time) on any Trading Day, no later than 9:01 a.m. (New York, New York time)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Discount Shares</w:t>
      </w:r>
      <w:r>
        <w:rPr>
          <w:rFonts w:ascii="Times New Roman;Times;Serif" w:hAnsi="Times New Roman;Times;Serif"/>
          <w:b w:val="false"/>
          <w:i w:val="false"/>
          <w:caps w:val="false"/>
          <w:smallCaps w:val="false"/>
          <w:sz w:val="20"/>
        </w:rPr>
        <w:t>” shall have the meaning ascribed to such term in Section 2.1(b).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DVP</w:t>
      </w:r>
      <w:r>
        <w:rPr>
          <w:rFonts w:ascii="Times New Roman;Times;Serif" w:hAnsi="Times New Roman;Times;Serif"/>
          <w:b w:val="false"/>
          <w:i w:val="false"/>
          <w:caps w:val="false"/>
          <w:smallCaps w:val="false"/>
          <w:sz w:val="20"/>
        </w:rPr>
        <w:t>” shall have the meaning ascribed to such term in Section 2.1(a).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Conditions</w:t>
      </w:r>
      <w:r>
        <w:rPr>
          <w:rFonts w:ascii="Times New Roman;Times;Serif" w:hAnsi="Times New Roman;Times;Serif"/>
          <w:b w:val="false"/>
          <w:i w:val="false"/>
          <w:caps w:val="false"/>
          <w:smallCaps w:val="false"/>
          <w:sz w:val="20"/>
        </w:rPr>
        <w:t>” has the meaning set forth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Evaluation Date</w:t>
      </w:r>
      <w:r>
        <w:rPr>
          <w:rFonts w:ascii="Times New Roman;Times;Serif" w:hAnsi="Times New Roman;Times;Serif"/>
          <w:b w:val="false"/>
          <w:i w:val="false"/>
          <w:caps w:val="false"/>
          <w:smallCaps w:val="false"/>
          <w:sz w:val="20"/>
        </w:rPr>
        <w:t>” shall have the meaning ascribed to such term in Section 3.1(x).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Exempt Issuance</w:t>
      </w:r>
      <w:r>
        <w:rPr>
          <w:rFonts w:ascii="Times New Roman;Times;Serif" w:hAnsi="Times New Roman;Times;Serif"/>
          <w:b w:val="false"/>
          <w:i w:val="false"/>
          <w:caps w:val="false"/>
          <w:smallCaps w:val="false"/>
          <w:sz w:val="20"/>
        </w:rPr>
        <w:t>” means the issuance of (a) Common Stock or options not to exceed 10% of the shares of Common Stock outstanding at any given time to employees, officers or directors of the Company pursuant to any stock or option plan duly adopted for such purpose, by a majority of the Board of Directors or a majority of the members of a committee of non-employee directors established for such purpose for services rendered to the Company, (b) securities upon the exercise or exchange of or conversion of (i) any Securities issued hereunder, and/or (ii) other securities exercisable or exchangeable for or convertible into Common Stock issued and outstanding on the date of this Agreement (without regard to any vesting requirements),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any issuance of shares of Common Stock or other securities as consideration in connection with any merger, acquisition, asset purchase, joint venture or other strategic transaction approved by the Company's Board of Directors as long as the primary purpose any such transaction is not to raise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Reserve</w:t>
      </w:r>
      <w:r>
        <w:rPr>
          <w:rFonts w:ascii="Times New Roman;Times;Serif" w:hAnsi="Times New Roman;Times;Serif"/>
          <w:b w:val="false"/>
          <w:i w:val="false"/>
          <w:caps w:val="false"/>
          <w:smallCaps w:val="false"/>
          <w:sz w:val="20"/>
        </w:rPr>
        <w:t>” shall have the meaning ascribed to such term in Section 3.1(tt).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federal, state, county, local, municipal or other government or political subdivision thereof, whether domestic or foreign, and any agency, authority, commission, ministry, instrumentality, regulatory body, court, tribunal, arbitrator, central bank or other Person exercising executive, legislative, judicial, taxing, regulatory or administrative powers or functions of or pertaining to any such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Guarantee Agreement</w:t>
      </w:r>
      <w:r>
        <w:rPr>
          <w:rFonts w:ascii="Times New Roman;Times;Serif" w:hAnsi="Times New Roman;Times;Serif"/>
          <w:b w:val="false"/>
          <w:i w:val="false"/>
          <w:caps w:val="false"/>
          <w:smallCaps w:val="false"/>
          <w:sz w:val="20"/>
        </w:rPr>
        <w:t xml:space="preserve">” means the Guarantee Agreement, dated the date hereof, among the Company, its Subsidiaries and the Investor,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means (a) any liabilities of the Company including all Subsidiaries for borrowed money or amounts owed in excess of $250,000 (other than trade accounts payable incurred in the ordinary course of business), (b) all guaranties, endorsements and other contingent obligations of the Company including all Subsidiaries in respect of indebtedness of others, whether or not the same are or should be reflected in the Company’s consolidated balance sheet (or the footnotes thereto), except guaranties by endorsement of negotiable instruments for deposit or collection or similar transactions in the ordinary course of business; or (c) the present value of any lease payments of the Company including all Subsidiaries in excess of $250,000 due under leases required to be capitalized in accordance with IFRS.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Indebtedness does not include (i) indebtedness for borrowed money incurred in connection with the purchase of assets or (ii) capital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intellectual property and industrial property rights and assets, and all rights, interests and protections that are associated with, similar to, or required for the exercise of, any of the foregoing, however arising, pursuant to the Laws of any jurisdiction throughout the world, whether registered or unregistered, including any and all: (a) trademarks, service marks, trade names, brand names, logos, trade dress, design rights and other similar designations of source, sponsorship, association or origin, together with the goodwill connected with the use of and symbolized by, and all registrations, applications and renewals for, any of the foregoing; (b) internet domain names, whether or not trademarks, registered in any top-level domain by any authorized private registrar or Governmental Authority, web addresses, web pages, websites and related content, social media accounts, including but not limited to X (formerly Twitter) and Facebook and the content found thereon and related thereto, and URLs; (c) works of authorship, expressions, designs and design registrations, whether or not copyrightable, including copyrights, author, performer, moral and neighboring rights, and all registrations, applications for registration and renewals of such copyrights; (d) inventions, discoveries, trade secrets, business and technical information and know-how, data, databases, and data collections, and confidential and proprietary information and all rights therein; (e) patents (including all reissues, divisionals, provisionals, continuations and continuations-in-part, re-examinations, renewals, substitutions and extensions thereof), patent applications, and other patent rights and any other Governmental Authority-issued indicia of invention ownership (including inventor’s certificates, petty patents and patent utility models); and (f )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 Party</w:t>
      </w:r>
      <w:r>
        <w:rPr>
          <w:rFonts w:ascii="Times New Roman;Times;Serif" w:hAnsi="Times New Roman;Times;Serif"/>
          <w:b w:val="false"/>
          <w:i w:val="false"/>
          <w:caps w:val="false"/>
          <w:smallCaps w:val="false"/>
          <w:sz w:val="20"/>
        </w:rPr>
        <w:t>” shall have the meaning ascribed to such term in Section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shall have the meaning ascribed to such term in Section 3.1(q).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shall have the meaning ascribed to such term in Section 3.1(xx).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Key Executives</w:t>
      </w:r>
      <w:r>
        <w:rPr>
          <w:rFonts w:ascii="Times New Roman;Times;Serif" w:hAnsi="Times New Roman;Times;Serif"/>
          <w:b w:val="false"/>
          <w:i w:val="false"/>
          <w:caps w:val="false"/>
          <w:smallCaps w:val="false"/>
          <w:sz w:val="20"/>
        </w:rPr>
        <w:t>” means all of the Company’s officers and directors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Laws</w:t>
      </w:r>
      <w:r>
        <w:rPr>
          <w:rFonts w:ascii="Times New Roman;Times;Serif" w:hAnsi="Times New Roman;Times;Serif"/>
          <w:b w:val="false"/>
          <w:i w:val="false"/>
          <w:caps w:val="false"/>
          <w:smallCaps w:val="false"/>
          <w:sz w:val="20"/>
        </w:rPr>
        <w:t>” with respect to a Person means any federal, state, local, municipal, or other laws, common law, statutes, constitutions, ordinances, rules, regulations, codes, orders, or legally enforceable requirements enacted, issued, adopted, promulgated, enforced, ordered, or applied by any Governmental Authority applicable to such Person or any of its Subsidiaries, including its respective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Lock-Up Agreements</w:t>
      </w:r>
      <w:r>
        <w:rPr>
          <w:rFonts w:ascii="Times New Roman;Times;Serif" w:hAnsi="Times New Roman;Times;Serif"/>
          <w:b w:val="false"/>
          <w:i w:val="false"/>
          <w:caps w:val="false"/>
          <w:smallCaps w:val="false"/>
          <w:sz w:val="20"/>
        </w:rPr>
        <w:t xml:space="preserve">” means the Lock-Up Agreements by and between the Company and each director, officer, 5% beneficial owner of Common Stock of the Company, and such other Persons as the Investor may reasonably request, in the form attached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M&amp;A</w:t>
      </w:r>
      <w:r>
        <w:rPr>
          <w:rFonts w:ascii="Times New Roman;Times;Serif" w:hAnsi="Times New Roman;Times;Serif"/>
          <w:b w:val="false"/>
          <w:i w:val="false"/>
          <w:caps w:val="false"/>
          <w:smallCaps w:val="false"/>
          <w:sz w:val="20"/>
        </w:rPr>
        <w:t>” means the memorandum and articles of association of the Company, as amended and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Malicious Code</w:t>
      </w:r>
      <w:r>
        <w:rPr>
          <w:rFonts w:ascii="Times New Roman;Times;Serif" w:hAnsi="Times New Roman;Times;Serif"/>
          <w:b w:val="false"/>
          <w:i w:val="false"/>
          <w:caps w:val="false"/>
          <w:smallCaps w:val="false"/>
          <w:sz w:val="20"/>
        </w:rPr>
        <w:t>” shall have the meaning assigned to such term in Section 3.1(t).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Customer</w:t>
      </w:r>
      <w:r>
        <w:rPr>
          <w:rFonts w:ascii="Times New Roman;Times;Serif" w:hAnsi="Times New Roman;Times;Serif"/>
          <w:b w:val="false"/>
          <w:i w:val="false"/>
          <w:caps w:val="false"/>
          <w:smallCaps w:val="false"/>
          <w:sz w:val="20"/>
        </w:rPr>
        <w:t>” of a Person means any customer or client which, individually or with such customer or client’s Affiliates, during either of such Person’s last two completed fiscal years or thus far in its current fiscal year, constitutes 5% or more of the accounts receivable or revenue of that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Supplier</w:t>
      </w:r>
      <w:r>
        <w:rPr>
          <w:rFonts w:ascii="Times New Roman;Times;Serif" w:hAnsi="Times New Roman;Times;Serif"/>
          <w:b w:val="false"/>
          <w:i w:val="false"/>
          <w:caps w:val="false"/>
          <w:smallCaps w:val="false"/>
          <w:sz w:val="20"/>
        </w:rPr>
        <w:t>” of a Person means any supplier or vendor which, individually or with such supplier or vendor’s Affiliates, during either of such Person’s last two completed fiscal years or thus far in its current fiscal year, constitutes or accounts for 5% or more of the accounts payable or inventory of that Person during either of such Person’s last two completed fiscal years or the most recent interim period of its current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Permits</w:t>
      </w:r>
      <w:r>
        <w:rPr>
          <w:rFonts w:ascii="Times New Roman;Times;Serif" w:hAnsi="Times New Roman;Times;Serif"/>
          <w:b w:val="false"/>
          <w:i w:val="false"/>
          <w:caps w:val="false"/>
          <w:smallCaps w:val="false"/>
          <w:sz w:val="20"/>
        </w:rPr>
        <w:t>” shall have the meaning ascribed to such term in Section 3.1(o).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Misconduct</w:t>
      </w:r>
      <w:r>
        <w:rPr>
          <w:rFonts w:ascii="Times New Roman;Times;Serif" w:hAnsi="Times New Roman;Times;Serif"/>
          <w:b w:val="false"/>
          <w:i w:val="false"/>
          <w:caps w:val="false"/>
          <w:smallCaps w:val="false"/>
          <w:sz w:val="20"/>
        </w:rPr>
        <w:t>” shall have the meaning ascribed to such term in Section 3.1(k).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shall have the meaning ascribed to such term in Section 3.1(ww).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Nason Yeager</w:t>
      </w:r>
      <w:r>
        <w:rPr>
          <w:rFonts w:ascii="Times New Roman;Times;Serif" w:hAnsi="Times New Roman;Times;Serif"/>
          <w:b w:val="false"/>
          <w:i w:val="false"/>
          <w:caps w:val="false"/>
          <w:smallCaps w:val="false"/>
          <w:sz w:val="20"/>
        </w:rPr>
        <w:t>” means Nason Yeager Gerson Harris &amp; Fumero, P.A., with offices located at 3001 PGA Boulevard, Suite 305, Palm Beach Gardens, Florida 33410.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xml:space="preserve">” means the 8% Senior Secured Original Issue Discount Convertible Note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shall have the meaning ascribed to such term in Section 3.1(tt).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Participation Maximum</w:t>
      </w:r>
      <w:r>
        <w:rPr>
          <w:rFonts w:ascii="Times New Roman;Times;Serif" w:hAnsi="Times New Roman;Times;Serif"/>
          <w:b w:val="false"/>
          <w:i w:val="false"/>
          <w:caps w:val="false"/>
          <w:smallCaps w:val="false"/>
          <w:sz w:val="20"/>
        </w:rPr>
        <w:t>” shall have the meaning ascribed to such term in Section 4.11(a).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Information</w:t>
      </w:r>
      <w:r>
        <w:rPr>
          <w:rFonts w:ascii="Times New Roman;Times;Serif" w:hAnsi="Times New Roman;Times;Serif"/>
          <w:b w:val="false"/>
          <w:i w:val="false"/>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biometric identifiers or any other piece of information that allows the identification of or contact with a natural person and for greater certainty includes all such information with respect to employees, (ii) data collected from an IP address, unique device identifier or MAC address, web beacon, pixel tag, ad tag, cookie, local storage object, Software, or by any other means, or from a particular computer, web browser, mobile device, or other device or application, where such data (a) is collected from a particular computer or device regarding online activities; or (b) is or may be used to identify or contact an individual or device or application, to predict or infer the preferences, interests, or other characteristics of the device or application or of a user of such device or application, or to target advertisements or other content to a device or application, or to a user of such device or application, and (iii) any information that is associated, directly or indirectly (by, for example, records linked via unique keys), to any of the foregoing. Personal Information also includes any information not listed in (i), (ii) or (iii) above if such information is defined as “personal data”, “personally identifiable information”, “individually identifiable health information,” “protected health information,” or “personal information” under any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Purchase Right Period</w:t>
      </w:r>
      <w:r>
        <w:rPr>
          <w:rFonts w:ascii="Times New Roman;Times;Serif" w:hAnsi="Times New Roman;Times;Serif"/>
          <w:b w:val="false"/>
          <w:i w:val="false"/>
          <w:caps w:val="false"/>
          <w:smallCaps w:val="false"/>
          <w:sz w:val="20"/>
        </w:rPr>
        <w:t>” shall have the meaning ascribed such term in Section 4.13(a).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means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Pre-Approved Reverse Split</w:t>
      </w:r>
      <w:r>
        <w:rPr>
          <w:rFonts w:ascii="Times New Roman;Times;Serif" w:hAnsi="Times New Roman;Times;Serif"/>
          <w:b w:val="false"/>
          <w:i w:val="false"/>
          <w:caps w:val="false"/>
          <w:smallCaps w:val="false"/>
          <w:sz w:val="20"/>
        </w:rPr>
        <w:t>” shall have the meaning ascribed such term in Section 4.15.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Pre-Delivery Shares</w:t>
      </w:r>
      <w:r>
        <w:rPr>
          <w:rFonts w:ascii="Times New Roman;Times;Serif" w:hAnsi="Times New Roman;Times;Serif"/>
          <w:b w:val="false"/>
          <w:i w:val="false"/>
          <w:caps w:val="false"/>
          <w:smallCaps w:val="false"/>
          <w:sz w:val="20"/>
        </w:rPr>
        <w:t>” means 1,500,000 shares of the Company’s Common Stock (adjusted for any share subdivision, share dividend, share consolidation or similar matter) to be issued in book-entry form in order to provide for the Investor to be able to convert the Note and receive prompt electronic delivery of Conversion Shares notwithstanding the differences in time zones between the Investor and the Company. The Investor shall not be able to sell or vote the Pre-Delivery Shares except as provided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Pre-Notice</w:t>
      </w:r>
      <w:r>
        <w:rPr>
          <w:rFonts w:ascii="Times New Roman;Times;Serif" w:hAnsi="Times New Roman;Times;Serif"/>
          <w:b w:val="false"/>
          <w:i w:val="false"/>
          <w:caps w:val="false"/>
          <w:smallCaps w:val="false"/>
          <w:sz w:val="20"/>
        </w:rPr>
        <w:t>” shall have the meaning ascribed to such term in Section 4.11(b).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 Amount</w:t>
      </w:r>
      <w:r>
        <w:rPr>
          <w:rFonts w:ascii="Times New Roman;Times;Serif" w:hAnsi="Times New Roman;Times;Serif"/>
          <w:b w:val="false"/>
          <w:i w:val="false"/>
          <w:caps w:val="false"/>
          <w:smallCaps w:val="false"/>
          <w:sz w:val="20"/>
        </w:rPr>
        <w:t>” means, as to the Investor, the amounts set forth below the Investor’s signature block on the signature pages hereto next to the heading “Principal Amount,” in United States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 Market Rules</w:t>
      </w:r>
      <w:r>
        <w:rPr>
          <w:rFonts w:ascii="Times New Roman;Times;Serif" w:hAnsi="Times New Roman;Times;Serif"/>
          <w:b w:val="false"/>
          <w:i w:val="false"/>
          <w:caps w:val="false"/>
          <w:smallCaps w:val="false"/>
          <w:sz w:val="20"/>
        </w:rPr>
        <w:t>” means the rules and regulations of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means the final base prospectus filed for the Registration Statement, including all information, documents and exhibits filed with or incorporated by reference into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including all information, documents and exhibits filed with or incorporated by reference into such prospectus supplement, that is filed with the SEC and delivered by the Company to each Investor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Public Information Failure</w:t>
      </w:r>
      <w:r>
        <w:rPr>
          <w:rFonts w:ascii="Times New Roman;Times;Serif" w:hAnsi="Times New Roman;Times;Serif"/>
          <w:b w:val="false"/>
          <w:i w:val="false"/>
          <w:caps w:val="false"/>
          <w:smallCaps w:val="false"/>
          <w:sz w:val="20"/>
        </w:rPr>
        <w:t>” shall have the meaning ascribed to such term in Section 4.2(b).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Information Failure Payments</w:t>
      </w:r>
      <w:r>
        <w:rPr>
          <w:rFonts w:ascii="Times New Roman;Times;Serif" w:hAnsi="Times New Roman;Times;Serif"/>
          <w:b w:val="false"/>
          <w:i w:val="false"/>
          <w:caps w:val="false"/>
          <w:smallCaps w:val="false"/>
          <w:sz w:val="20"/>
        </w:rPr>
        <w:t>” shall have the meaning ascribed to such term in Section 4.2(b).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the effective registration statement on Form F-3 filed with the SEC (File No. 333-296153), including all information, documents and exhibits filed with or incorporated by reference into such registration statement, which registers the issuance and sale of the Note to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Party Transactions</w:t>
      </w:r>
      <w:r>
        <w:rPr>
          <w:rFonts w:ascii="Times New Roman;Times;Serif" w:hAnsi="Times New Roman;Times;Serif"/>
          <w:b w:val="false"/>
          <w:i w:val="false"/>
          <w:caps w:val="false"/>
          <w:smallCaps w:val="false"/>
          <w:sz w:val="20"/>
        </w:rPr>
        <w:t>” shall have the meaning ascribed to such term in Section 3.1(w).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Minimum</w:t>
      </w:r>
      <w:r>
        <w:rPr>
          <w:rFonts w:ascii="Times New Roman;Times;Serif" w:hAnsi="Times New Roman;Times;Serif"/>
          <w:b w:val="false"/>
          <w:i w:val="false"/>
          <w:caps w:val="false"/>
          <w:smallCaps w:val="false"/>
          <w:sz w:val="20"/>
        </w:rPr>
        <w:t>” means, as of any date, the 300% of the maximum aggregate number of shares of Common Stock then issued or potentially issuable in the future pursuant to the Transaction Documents, including any Underlying Shares issuable upon conversion in full of the Note (including Underlying Shares issuable as payment of interest on the Note), ignoring any conversion or exercise limits set forth therein, and assuming that the Conversion Price is at all times on and after the date of determination equal to the Floor Price (as defined in the Note). For the purposes of the Transaction Documents, the initial Required Minimum is 82,553,658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SEC pursuant to the Securities Act, as such Rule may be amended or interpreted from time to time, or any similar rule or regulation hereafter adopted by the SEC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424</w:t>
      </w:r>
      <w:r>
        <w:rPr>
          <w:rFonts w:ascii="Times New Roman;Times;Serif" w:hAnsi="Times New Roman;Times;Serif"/>
          <w:b w:val="false"/>
          <w:i w:val="false"/>
          <w:caps w:val="false"/>
          <w:smallCaps w:val="false"/>
          <w:sz w:val="20"/>
        </w:rPr>
        <w:t>” means Rule 424 promulgated by the SEC pursuant to the Securities Act, as such Rule may be amended or interpreted from time to time, or any similar rule or regulation hereafter adopted by the SEC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the Note and the Underlying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xml:space="preserve">” means the Security and Pledge Agreement, dated the date hereof, among the Company, its Subsidiaries and the Investor,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Shareholder Approval</w:t>
      </w:r>
      <w:r>
        <w:rPr>
          <w:rFonts w:ascii="Times New Roman;Times;Serif" w:hAnsi="Times New Roman;Times;Serif"/>
          <w:b w:val="false"/>
          <w:i w:val="false"/>
          <w:caps w:val="false"/>
          <w:smallCaps w:val="false"/>
          <w:sz w:val="20"/>
        </w:rPr>
        <w:t>” means such approval as may be required by the Principal Market Rules and/or applicable Law from the shareholders of the Company with respect to the transactions contemplated by the Transaction Documents, including the issuance of all of the Underlying Shares underlying the Note in excess of 19.99% of the issued and outstanding Common Stock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any and all computer software and code, including all new versions, updates, revisions, improvements and modifications thereof, whether in source code, object code, or executable code format, including systems software, application software (including mobile apps), firmware, middleware, programming tools, scripts, routines, interfaces, architecture, schematics, records, libraries, and data, databases and data collections, and all related specifications and documentation, including developer notes, comments and annotations, user manuals and training materials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Subscription Amount</w:t>
      </w:r>
      <w:r>
        <w:rPr>
          <w:rFonts w:ascii="Times New Roman;Times;Serif" w:hAnsi="Times New Roman;Times;Serif"/>
          <w:b w:val="false"/>
          <w:i w:val="false"/>
          <w:caps w:val="false"/>
          <w:smallCaps w:val="false"/>
          <w:sz w:val="20"/>
        </w:rPr>
        <w:t>” means, as to the Investor, the aggregate amount to be paid for the Note purchased hereunder as specified below such Investor’s name on the signature page of this Agreement and next to the heading “Subscription Amount,”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Subsequent Financing</w:t>
      </w:r>
      <w:r>
        <w:rPr>
          <w:rFonts w:ascii="Times New Roman;Times;Serif" w:hAnsi="Times New Roman;Times;Serif"/>
          <w:b w:val="false"/>
          <w:i w:val="false"/>
          <w:caps w:val="false"/>
          <w:smallCaps w:val="false"/>
          <w:sz w:val="20"/>
        </w:rPr>
        <w:t>” shall have the meaning ascribed to such term in Section 4.11(a).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Subsequent Financing Notice</w:t>
      </w:r>
      <w:r>
        <w:rPr>
          <w:rFonts w:ascii="Times New Roman;Times;Serif" w:hAnsi="Times New Roman;Times;Serif"/>
          <w:b w:val="false"/>
          <w:i w:val="false"/>
          <w:caps w:val="false"/>
          <w:smallCaps w:val="false"/>
          <w:sz w:val="20"/>
        </w:rPr>
        <w:t>” shall have the meaning ascribed to such term in Section 4.11(b).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 means any subsidiary of the Company as set forth in the SEC Reports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to the Knowledge of the 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to the Company’s Knowledge</w:t>
      </w:r>
      <w:r>
        <w:rPr>
          <w:rFonts w:ascii="Times New Roman;Times;Serif" w:hAnsi="Times New Roman;Times;Serif"/>
          <w:b w:val="false"/>
          <w:i w:val="false"/>
          <w:caps w:val="false"/>
          <w:smallCaps w:val="false"/>
          <w:sz w:val="20"/>
        </w:rPr>
        <w:t>” and similar words and phrases relating to the Company’s “</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the actual knowledge of any of the Key Executives of the Company upon reasonable investigation including with the use of an artificial intelligence whether used by the Company or any law firm it has engaged in connection with the sale of the Note, except as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Nasdaq Capital Market, the Nasdaq Global Market, the Nasdaq Global Select Market, the NYSE American, the New York Stock Exchange, the OTCQB, OTCQX, Pink Basic Market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this Agreement, the Note, the Security Agreement, the Pledge Agreement and the Guarantee Agreement and all exhibits and thereto and hereto and any other documents or agreements executed in connection with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Equiniti,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Underlying Shares</w:t>
      </w:r>
      <w:r>
        <w:rPr>
          <w:rFonts w:ascii="Times New Roman;Times;Serif" w:hAnsi="Times New Roman;Times;Serif"/>
          <w:b w:val="false"/>
          <w:i w:val="false"/>
          <w:caps w:val="false"/>
          <w:smallCaps w:val="false"/>
          <w:sz w:val="20"/>
        </w:rPr>
        <w:t>” means the Conversion Shares (including Pre-Delivery Shares deemed issued as Conversion Shares under the Note), and Common Stock otherwise issued and issuable pursuant to the terms of the Note, including without limitation, Common Stock issued and issuable in lieu of the cash payment of interest on the Note in accordance with the terms of the Note, in each case without respect to any limitation or restriction on the conversion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Variable Rate Transaction</w:t>
      </w:r>
      <w:r>
        <w:rPr>
          <w:rFonts w:ascii="Times New Roman;Times;Serif" w:hAnsi="Times New Roman;Times;Serif"/>
          <w:b w:val="false"/>
          <w:i w:val="false"/>
          <w:caps w:val="false"/>
          <w:smallCaps w:val="false"/>
          <w:sz w:val="20"/>
        </w:rPr>
        <w:t>” shall have the meaning ascribed to such term in Section 4.12(b).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New York time) to 4:02 p.m. (New York, New York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OTC Basic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Investor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PURCHASE AND SALE OF SHARES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Closing Date, upon the terms and subject to the conditions set forth herein, substantially concurrent with the execution and delivery of this Agreement by the parties hereto, the Company agrees to sell, and the Investor, severally and not jointly, agree to purchase, up to an aggregate of $4,347,826 of Principal Amount of the Note. The Investor shall make such Investor’s Subscription Amount as set forth on the signature page hereto executed by such Investor available to be delivered to the Company (or its designee) via DVP (as defined below), and the Company shall deliver to the Investor its respective Note, as set forth on the signature page hereto and the Company and the Investor shall deliver the other items set forth in Section 2.2(b) deliverable at the Closing. Upon satisfaction of the covenants and conditions set forth in Sections 2.3(a) and 2.3(b) the Closing shall occur at the offices of counsel to the Investor or such other location (or remotely by electronic means) as the parties shall mutually agree. Unless otherwise directed by the Investor, settlement of the Note shall occur via “Delivery Versus Payment” (“</w:t>
      </w:r>
      <w:r>
        <w:rPr>
          <w:rFonts w:ascii="Times New Roman;Times;Serif" w:hAnsi="Times New Roman;Times;Serif"/>
          <w:b/>
          <w:i w:val="false"/>
          <w:caps w:val="false"/>
          <w:smallCaps w:val="false"/>
          <w:sz w:val="20"/>
        </w:rPr>
        <w:t>DVP</w:t>
      </w:r>
      <w:r>
        <w:rPr>
          <w:rFonts w:ascii="Times New Roman;Times;Serif" w:hAnsi="Times New Roman;Times;Serif"/>
          <w:b w:val="false"/>
          <w:i w:val="false"/>
          <w:caps w:val="false"/>
          <w:smallCaps w:val="false"/>
          <w:sz w:val="20"/>
        </w:rPr>
        <w:t>”) (i.e., on the Closing Date, the Company shall issue the Note registered in the Investor’s name and cause the Transfer Agent to the issue the Pre-Delivery Shares in book entry at the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herein to the contrary, the Investor’s purchase of the Note shall also be subject to an additional 2% original issue discount of the Subscription Amount, or $86,956 (the “</w:t>
      </w:r>
      <w:r>
        <w:rPr>
          <w:rFonts w:ascii="Times New Roman;Times;Serif" w:hAnsi="Times New Roman;Times;Serif"/>
          <w:b/>
          <w:i w:val="false"/>
          <w:caps w:val="false"/>
          <w:smallCaps w:val="false"/>
          <w:sz w:val="20"/>
        </w:rPr>
        <w:t>Additional Discount</w:t>
      </w:r>
      <w:r>
        <w:rPr>
          <w:rFonts w:ascii="Times New Roman;Times;Serif" w:hAnsi="Times New Roman;Times;Serif"/>
          <w:b w:val="false"/>
          <w:i w:val="false"/>
          <w:caps w:val="false"/>
          <w:smallCaps w:val="false"/>
          <w:sz w:val="20"/>
        </w:rPr>
        <w:t>”), which shall be in the form of one of the following as elected by the Company to be applied to the second part of the Closing: (i) the Company may elect to have the Investor reduce the Subscription Amount payable by the Investor for the Closing by the Additional Discount, (ii) the Company may elect to have the Investor pay the Additional Discount as part of the Subscription Amount and pursuant thereto purchase a number of shares of Common Stock determined by dividing the Additional Discount by the lower of (i) the Fixed Conversion Price or (ii) the closing  price of the Common Stock as reported on the Principal Market on the Trading Day immediately preceding the Closing Date, provided that in no event shall such price be less than the par value of the Common Stock (as applicable, the “</w:t>
      </w:r>
      <w:r>
        <w:rPr>
          <w:rFonts w:ascii="Times New Roman;Times;Serif" w:hAnsi="Times New Roman;Times;Serif"/>
          <w:b/>
          <w:i w:val="false"/>
          <w:caps w:val="false"/>
          <w:smallCaps w:val="false"/>
          <w:sz w:val="20"/>
        </w:rPr>
        <w:t>Discount Shares</w:t>
      </w:r>
      <w:r>
        <w:rPr>
          <w:rFonts w:ascii="Times New Roman;Times;Serif" w:hAnsi="Times New Roman;Times;Serif"/>
          <w:b w:val="false"/>
          <w:i w:val="false"/>
          <w:caps w:val="false"/>
          <w:smallCaps w:val="false"/>
          <w:sz w:val="20"/>
        </w:rPr>
        <w:t xml:space="preserve">”), subject to the Beneficial Ownership Limitation, or (iii) the Company may elect any combination of (i) and (ii) above which collectively combine to equal the Additional Discount subject to the Beneficial Ownership Limitation,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Company shall not have the right to select clause (ii) or (iii) above for purposes hereof and issue Discount Shares hereunder if and to the extent that such issuance of Discount Shares would cause the Investor to exceed the Beneficial Ownership Limitation, and to the extent thereof the Additional Discount shall be in the form of cash under clause (i)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Investor shall have the obligation to lend the Company an additional $3,680,000, exercisable within 180 days of the Closing Date, using a Securities Purchase Agreement and other closing deliverables substantially similar to this Agreement (except the Floor Price as defined in the Note may differ);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 the Closing Price on the Trading Day immediately preceding the second Closing Date is more than $1.00, (ii) the sale of the Conversion Shares issuable upon conversion of the 8% Senior Secured Convertible Note may be made under the Registration Statement on Form F-3 filed by the Company with the SEC and effective with the SEC, (iii) less than $300,000 of Principal Amount is outstanding, and (iv) the conditions set forth in Section 2.3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360 days of the first Closing Date, the Investor may lend the Company an additional $6 million in two tranches, subject to mutual consent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the Investor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Note, registered in the name of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1,500,000 Pre-Delivery Shares, registered in the name of the Investor, together with a copy of the irrevocable instructions to the Transfer Agent instructing the Transfer, subject to the applicable Beneficial Ownership Limitation selected by the Investor for the Pre-Delivery Shares and to Section 4.14 of this Agreement and Section 4.4 of the Note. To the extent that the number of outstanding shares increases so that additional Pre-Delivery shares can be issued without violating the Beneficial Ownership Limitation, the Companies Act (As Revised) of the Cayman Islands and all applicable laws, the Company shall deliver additional Pre-Delivery Shares to the Investor within five Trading Days of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copy of the irrevocable instructions to the Transfer Agent instructing the Transfer Agent to deliver, on an expedited basis, a certificate (or at the request of the Investor, book entry statement) evidencing a number of Discount Shares,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have provided the Investor with the Company’s wire instructions, on Company letterhead and executed by the Chief Executive Officer or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Security Agreement executed by the Company and each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Guaranty Agreement executed by the Company and each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Lock-Up Agreements executed by the Company and each director, officer, 5% beneficial owner of Common Stock of the Company, and such other Persons as the Investor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as to the initial Closing, a letter executed by the Company and the Transfer Agent reserving the Required Minimum for the benefit of the Investor and, to the extent the Required Minimum increases as a result of the second Closing or any additional Closing, as to such Closing, an amended or replacement letter executed by the Company and the Transfer Agent reserving the Required Minimum as so increased;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as to each Closing a legal opinion of Company Counsel, and a legal opinion from Cayman Counsel in a form reasonably acceptable to the Investor, directed to the Investor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as to each Closing, an officer’s certificate certifying that the representations and warranties of the Company in this Agreement are true and correct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 Date under any Transaction Documents and no Event of Default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as to each Closing, an officer’s certificate, in the form acceptable to the Investor, executed by an officer of the Company and dated as of the Closing Date, as to (i) the resolutions adopted by the Company’s Board of Directors authorizing the transactions contemplated hereby in a form reasonably acceptable to the Investor, and (ii) the M&amp;A of the Company and the organizational documents of each Subsidiary, each as in effect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as to the each Closing, a certificate of good standing or its equivalent of the Company and each Guarantor in such entity’s jurisdiction of formation or incorporation issued by the relevant competent local government authority or registrar of companies or entities as applicable, to the extent that they are available in such jurisdiction as of a date within 20 days of the applicable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as to each Closing, a certificate evidencing the Company’s and each Guarantor’s qualification as a foreign corporation and good standing issued by the Secretary of State (or comparable office) of each jurisdiction in which the Company and each Guarantor conducts business and is required to so qualify, as of a date within 10 days of such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as to the initial Closing, a certified copy of the M&amp;A (or such equivalent organizational document) of the Company dated within 10 days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as to each Closing, a copy of the Prospectus Supplement to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as to each Closing, a letter from the Transfer Agent certifying the number of shares of Common Stock outstanding on the Closing Date immediately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as to the initial Closing, a copy of the home country letter which has been provided by the Company’s Cayman Islands Counsel to the Principal Market indicating that Shareholder Approval is not required in connection with this Agreement and the other Transaction Documents and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as to initial Closing, a copy of the application for the listing of the Underlying Shares on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as to each Closing, appropriate termination statements or similar instruments releasing other Liens related to security interests securing Indebtedness of the Guarantor and other instruments and releases as may be necessary to extinguish all Liens of the Guarantor and all security interests related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as to each Closing, such other documents, instruments or certificates relating to the Company and its Subsidiaries and the transactions contemplated by this Agreement as the Investor or its counsel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the Investor shall deliver or cause to be delivered to the Company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Investor;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Investor’s Subscription Amount by wire transfer to the account specified by the Company.</w:t>
      </w:r>
    </w:p>
    <w:p>
      <w:pPr>
        <w:pStyle w:val="TextBody"/>
        <w:bidi w:val="0"/>
        <w:spacing w:before="0" w:after="0"/>
        <w:ind w:left="0" w:right="0" w:hanging="0"/>
        <w:jc w:val="left"/>
        <w:rPr/>
      </w:pPr>
      <w:r>
        <w:rPr/>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on the Closing Date of the representations and warranties of the Investor contained herein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Investor required to be performed at or prior to the Closing Date shall have been performed;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Investor of the items set forth in Section 2.2(b)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Investor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specified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not be in default in the payment of any Indebtedness or other obligations, and there shall not have been any material adverse change in the Company’s ability to repay any outstanding Indebtedness or other obligations as they 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be current with and shall have timely filed all SEC Reports required to have been filed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shall be in compliance with all continued listing standards, rules and regulations of the Principal Market as of the applicable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Company shall have filed an additional listing application with the principal Trading Market with respect to the Conversion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no Laws been enacted, entered, promulgated or endorsed by any court of competent jurisdiction or Governmental Authority that prohibits the consummation of any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Equity Conditions shall have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with respect to the each Closing, (A) no Note shall be in default and an Event of Default shall not have otherwise occurred, nor shall any event, fact or occurrence have occurred or exist which would constitute a default or Event of Default if a Note were then outstanding, and (B) </w:t>
      </w:r>
      <w:r>
        <w:rPr>
          <w:rFonts w:ascii="Times New Roman;Times;Serif" w:hAnsi="Times New Roman;Times;Serif"/>
          <w:b w:val="false"/>
          <w:i w:val="false"/>
          <w:caps w:val="false"/>
          <w:smallCaps w:val="false"/>
          <w:color w:val="202020"/>
          <w:sz w:val="20"/>
        </w:rPr>
        <w:t>the Investor’s purchase, acquisition or ownership of securities of the Company shall not be prohibited by any applicable Law, including any rule or regulation of the Trading Market for the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Form F-3 remains effective and available for use with respect to the sale and issuance of the Note and later sale and issuance of any Conversion Shares in accordance with the Securities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from the date hereof to the Closing Date, trading in the Common Stock shall not have been suspended by the SEC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Investor, makes it impracticable or inadvisable to purchase the Note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Investor which shall be true and correct as of the date hereof and the Closing Date and shall apply to the Company and its Subsidiaries except where apparent from the context. Any reference to the Company and its Subsidiaries shall not be construed to modify the prior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M&amp;A or Charter,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“Material Adverse Effect”) and no Proceeding has been instituted in any such jurisdiction revoking, limiting or curtailing or seeking to revoke, limit or curtail such power and authority or qualification;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“Material Adverse Effect” shall not include any event, occurrence, fact, condition or change, directly or indirectly, arising out of or attributable to: (i) acts of war (whether or not declared), armed hostilities or terrorism, or the escalation or worsening thereof, (ii) any pandemic, epidemics or human health crises, (iii) any changes in applicable Laws or accounting rules (including IFRS), (iv) the announcement, pendency or completion of the transactions contemplated by the Transaction Documents, (v) any action required or permitted by the Transaction Documents or any action taken (or omitted to be taken) with the written consent of or at the written request of Investor) or (vi) conditions generally affecting the industry in which the Company or any Subsidiary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Enforcement; Validity</w:t>
      </w:r>
      <w:r>
        <w:rPr>
          <w:rFonts w:ascii="Times New Roman;Times;Serif" w:hAnsi="Times New Roman;Times;Serif"/>
          <w:b w:val="false"/>
          <w:i w:val="false"/>
          <w:caps w:val="false"/>
          <w:smallCaps w:val="false"/>
          <w:sz w:val="20"/>
        </w:rPr>
        <w:t>. The Company has the requisite power and authority to enter into and perform its obligations under this Agreement and the other Transaction Documents and to issue the Note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Note and the reservation for issuance and issuance of the Conversion Shares issuable upon conversion of the Note) have been duly authorized by the Company’s Board of Directors or other governing body, as applicable, and no further filing, consent or authorization is required by the Company, its Subsidiaries, their respective Boards of Directors or their shareholders or other governing body in connection herewith or therewith other than in connection with the Required Approvals. This Agreement has been, and the other Transaction Documents to which it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execution, delivery and performance by the Company of this Agreement and the other Transaction Documents to which it is a party, the issuance and sale of the Note and the consummation by it of the transactions contemplated hereby and thereby do not and will not (i) conflict with or violate any provision of the Company’s M&amp;A or any Subsidiary’s Charter,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Neither the Company nor any of its Subsidiaries is engaged in, directly or indirectly, and none of the Company’s nor any Subsidiary’s operations, activities or assets entail or involve, directly or indirectly, a “covered activity” within the meaning of that certain Final Rule adopted by the United Stated Department of Treasury pursuant to Executive Order 14105 of August 9, 2023 “Addressing United States Investments in Certain National Security Technologies and Products in Countries of Concern,” (31 CFR Part 850) (the “Final Rule”), such that the transactions contemplated by this Agreement and the other Transaction Documents do not and will not constitute a “prohibited transaction” or a “notifiable transaction” within the meaning of the Final Rule. Neither the Company nor any Subsidiary has any present intention or plan to engage in any such covered activity, and the Company covenants and agrees not to, and to cause its Subsidiaries not to, engage in any such covered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SEC of the Prospectus Supplement, (iii) the notice and/or application(s) to each applicable Trading Market for the issuance and sale of the Note and the listing of the Conversion Shares for trading thereon in the time and manner required thereby and (iv) such filings as are required to be made under applicable state securities Laws (collectively, the “</w:t>
      </w:r>
      <w:r>
        <w:rPr>
          <w:rFonts w:ascii="Times New Roman;Times;Serif" w:hAnsi="Times New Roman;Times;Serif"/>
          <w:b/>
          <w:i w:val="false"/>
          <w:caps w:val="false"/>
          <w:smallCaps w:val="false"/>
          <w:sz w:val="20"/>
        </w:rPr>
        <w:t>Required Approvals</w:t>
      </w:r>
      <w:r>
        <w:rPr>
          <w:rFonts w:ascii="Times New Roman;Times;Serif" w:hAnsi="Times New Roman;Times;Serif"/>
          <w:b w:val="false"/>
          <w:i w:val="false"/>
          <w:caps w:val="false"/>
          <w:smallCaps w:val="false"/>
          <w:sz w:val="20"/>
        </w:rPr>
        <w:t>”). The Company is not and will not be required to obtain Shareholder Approval in connection with this Agreement and the other Transaction Documents and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Note; Registration</w:t>
      </w:r>
      <w:r>
        <w:rPr>
          <w:rFonts w:ascii="Times New Roman;Times;Serif" w:hAnsi="Times New Roman;Times;Serif"/>
          <w:b w:val="false"/>
          <w:i w:val="false"/>
          <w:caps w:val="false"/>
          <w:smallCaps w:val="false"/>
          <w:sz w:val="20"/>
        </w:rPr>
        <w:t>. The Note is duly authorized and, when issued and paid for in accordance with the applicable Transaction Documents, will be duly and validly issued, fully paid and nonassessable (which means that no further sums are required to be paid by the holders thereof in connection with the issue thereof), free and clear of all Liens imposed by the Company other than restrictions on transfer provided for in the Transaction Documents and applicable law. The Company does not need the approval of its shareholders to issue the Note or the Conversion Shares. The Conversion Shares, when issued or deemed issued in accordance with the terms of the Transaction Documents, will be validly issued, fully paid and nonassessable (which means that no further sums are required to be paid by the holders thereof in connection with the issue thereof), free and clear of all Liens imposed by the Company other than restrictions on transfer provided for in the Transaction Documents and applicable law. The Company has reserved from its duly authorized capital stock a number of shares at least equal to the Required Minimum number of Conversion Shares. The Company has prepared and filed the Registration Statement in conformity with the requirements of the Act, which became effective on August 17, 2026,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SEC and no proceedings for that purpose have been instituted or, to the knowledge of the Company, are threatened by the SEC. The Company, if required by the rules and regulations of the SEC, shall file the Prospectus Supplement with the SEC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light of the circumstances under which they were made, not misleading. The Company was at the time of the filing of the Registration Statement eligible to use Form F-3. The Company is eligible to use Form F-3 under the Securities Act and it meets the requirements set forth in General Instruction I.B.1 of Form 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is substantially as set forth in the SEC Reports as supplemented by the Prospectus Supplement as of the dates set forth therein. The Company has not issued any capital stock since its most recently filed periodic report under the Exchange Act, other than pursuant to the exercise of employee stock options, the issuance of shares of Common Stock to employees and consultants or grants of restricted stock pursuant to the Company’s 2024 Equity Incentive Plan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SEC Reports or the Prospectus or for grants of Restricted Stock Units under the Company’s 2024 Equity Incentive Plan and as a result of the purchase and sale of the Note,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Note will not obligate the Company or any Subsidiary to issue shares of Common Stock or other securities to any Person (other than the Investor).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Note. Other than as set forth in the SEC Reports, there are no shareholders agreements, voting agreements or other similar agreements with respect to the Company’s capital stock to which the Company is a party or, to the Knowledge of the Company, between or among any of the Company’s shareholders, which knowledge is without investigation. The Company has provided notice to holders of its restricted securities that the filing of Form 144 with the SEC is not necessary, except for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Prospectus Supplement, being collectively referred to herein as the “</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xml:space="preserve">”)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except as provided on </w:t>
      </w:r>
      <w:r>
        <w:rPr>
          <w:rFonts w:ascii="Times New Roman;Times;Serif" w:hAnsi="Times New Roman;Times;Serif"/>
          <w:b w:val="false"/>
          <w:i w:val="false"/>
          <w:caps w:val="false"/>
          <w:smallCaps w:val="false"/>
          <w:sz w:val="20"/>
          <w:u w:val="single"/>
        </w:rPr>
        <w:t>Schedule 3.1(h)</w:t>
      </w:r>
      <w:r>
        <w:rPr>
          <w:rFonts w:ascii="Times New Roman;Times;Serif" w:hAnsi="Times New Roman;Times;Serif"/>
          <w:b w:val="false"/>
          <w:i w:val="false"/>
          <w:caps w:val="false"/>
          <w:smallCaps w:val="false"/>
          <w:sz w:val="20"/>
        </w:rPr>
        <w:t>. Such financial statements have been prepared in accordance with International Financial Reporting Standards accounting principles applied on a consistent basis during the periods involved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IFRS,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except as disclosed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(B) liabilities not required to be reflected in the Company’s financial statements pursuant to IFRS or disclosed in filings made with the SEC and (C) Indebtedness disclosed in SEC Reports,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the Company’s 2024 Equity Incentive Plan. The Company does not have pending before the SEC any request for confidential treatment of information. Except for the issuance of the Note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the outcome of which, if against the Company, would reasonably be expected to result in a Material Adverse Effect. Neither the Company nor any Subsidiary, to the Company’s Knowledge, nor is any director or officer thereof the subject of any Action involving a claim of violation of or liability under federal or state securities Laws or a claim of breach of fiduciary duty. There has not been, and to the Knowledge of the Company, there is not pending or contemplated, any preliminary inquiry or investigation by the SEC involving the Company or any current or former director or officer of the Company. The SEC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 To the Company's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allegations of sexual harassment, sexual misconduct or discrimination, whether such discrimination arises from race, ethnic background, sex, gender status, age or otherwise (“</w:t>
      </w:r>
      <w:r>
        <w:rPr>
          <w:rFonts w:ascii="Times New Roman;Times;Serif" w:hAnsi="Times New Roman;Times;Serif"/>
          <w:b/>
          <w:i w:val="false"/>
          <w:caps w:val="false"/>
          <w:smallCaps w:val="false"/>
          <w:sz w:val="20"/>
        </w:rPr>
        <w:t>Misconduct</w:t>
      </w:r>
      <w:r>
        <w:rPr>
          <w:rFonts w:ascii="Times New Roman;Times;Serif" w:hAnsi="Times New Roman;Times;Serif"/>
          <w:b w:val="false"/>
          <w:i w:val="false"/>
          <w:caps w:val="false"/>
          <w:smallCaps w:val="false"/>
          <w:sz w:val="20"/>
        </w:rPr>
        <w:t>”) have been made involving any current or former director, officer, employee or independent contractor of the Company or any of its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neither the Company nor any of its Subsidiaries have entered into any settlement agreements related to allegations of Misconduct by any current or former director, officer, employee, or independent contractor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each of clauses (i), (ii) and (iii) such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Without limiting the generality of the foregoing, the Company has maintained, and has implemented reasonable policies, measures and infrastructure to maintain, compliance with Laws related to the conduct of the Company’s business and the provision or sale of the Company products and the Company’s operations and activities generally, and the Company and its Subsidiaries are in compliance with all Laws applicable thereto and have not otherwise experienced and have no Knowledge of any pending, threatened or potential development with respect to such Laws or the Governmental Authorities that enact, promulgate and enforce them, that has resulted in or might be reasonably be expected to result in any Material Adverse Effect, including without limitation, as may be amended from time-to-time: the PRC Enterprise Income Tax Law 2008, (B) the Copyright Law of the PRC 1990, (C) the Trademark Law of the PRC 1982, (D) the Company Law of the People’s Republic of China, (E)  the Inflation Reduction Act of 2022, (F)  the Investment Company Act of 194, (G) the Data Protection Act (As Revised) of the Cayman Islands, (H) the Jumpstart Our Business Startups Act of 2012, (I) the Holding Foreign Companies Accountable Act, as amended by the Consolidated Appropriations Act 2023, (J) the Consolidated Appropriations Act, 2023, (K) the Companies Act (Revised) of the Cayman Islands, (L)  the Government Procurement Law of the People’s Republic of China 2002 (as amended), (M)  the Customs Law of the PRC, (N) the Environmental Protection Law of the PRC, (O) the Environmental Impact Assessment Law of the PRC , (P)  the Law of the PRC on Prevention and Treatment of Water Pollution, (Q) the Fire Prevention Law of the PRC 1998, (R)  the Social Insurance Law of PRC 2011, (S) the Labor Contract Law of the PRC, (T) the Anti-Unfair Competition Law of the PRC 1993, (U) the Hong Kong Autonomy Act 2020, (V) the  Anti-Monopoly Law of the PRC 2008, (W) the Foreign Investment Law of the PRC 2020, and (W) Sarbanes-Oxley Act of 2002, and all similar and other applicable Laws of all jurisdictions to which the Company or any Subsidiary, directly or indirectly, is subject. This Agreement and the other Transaction Documents and the transactions contemplated hereby and thereby do not and will not result in any violation or non-compliance of any Laws applicable to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Medical Device Compliance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General Regulatory Compliance</w:t>
      </w:r>
      <w:r>
        <w:rPr>
          <w:rFonts w:ascii="Times New Roman;Times;Serif" w:hAnsi="Times New Roman;Times;Serif"/>
          <w:b w:val="false"/>
          <w:i w:val="false"/>
          <w:caps w:val="false"/>
          <w:smallCaps w:val="false"/>
          <w:sz w:val="20"/>
        </w:rPr>
        <w:t>. Each of the Company and its Subsidiaries (collectively, the “</w:t>
      </w:r>
      <w:r>
        <w:rPr>
          <w:rFonts w:ascii="Times New Roman;Times;Serif" w:hAnsi="Times New Roman;Times;Serif"/>
          <w:b/>
          <w:i w:val="false"/>
          <w:caps w:val="false"/>
          <w:smallCaps w:val="false"/>
          <w:sz w:val="20"/>
        </w:rPr>
        <w:t>Medical Device Entities</w:t>
      </w:r>
      <w:r>
        <w:rPr>
          <w:rFonts w:ascii="Times New Roman;Times;Serif" w:hAnsi="Times New Roman;Times;Serif"/>
          <w:b w:val="false"/>
          <w:i w:val="false"/>
          <w:caps w:val="false"/>
          <w:smallCaps w:val="false"/>
          <w:sz w:val="20"/>
        </w:rPr>
        <w:t>”) that develops, manufactures, assembles, packages, labels, imports, exports, distributes, markets, promotes, offers for sale, sells, leases or otherwise commercializes any medical device (each, a “</w:t>
      </w:r>
      <w:r>
        <w:rPr>
          <w:rFonts w:ascii="Times New Roman;Times;Serif" w:hAnsi="Times New Roman;Times;Serif"/>
          <w:b/>
          <w:i w:val="false"/>
          <w:caps w:val="false"/>
          <w:smallCaps w:val="false"/>
          <w:sz w:val="20"/>
        </w:rPr>
        <w:t>Medical Device</w:t>
      </w:r>
      <w:r>
        <w:rPr>
          <w:rFonts w:ascii="Times New Roman;Times;Serif" w:hAnsi="Times New Roman;Times;Serif"/>
          <w:b w:val="false"/>
          <w:i w:val="false"/>
          <w:caps w:val="false"/>
          <w:smallCaps w:val="false"/>
          <w:sz w:val="20"/>
        </w:rPr>
        <w:t>”) is, and at all times during the two-year period preceding the date hereof has been, in compliance in all material respects with all applicable Laws relating to Medical Devices and the manufacture, development, testing, registration, approval, marketing, distribution, sale and commercialization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compliance includes, to the extent applicable, the requirements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United States Federal Food, Drug, and Cosmetic Act, and the rules and regulations promulgated thereunder, including the applicable provisions governing establishment registration, device listing, premarket notification, premarket approval, labeling, quality systems, adverse-event reporting, recalls, corrections and removals, and manufacturing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applicable regulations of the U.S. Food and Drug Administration (“FDA”)to the extent applicable to the Medical Devices or activities of the Medical Device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Laws of the Cayman Islands applicable to the Company or any Subsidiary incorporated, registered or operating therein, including the Companies Act (As Revised) of the Cayman Islands and, to the extent applicable to the Company’s or any Subsidiary’s activities, the Health Practice Act and regulations promulgated thereunder;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Laws and regulations of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Registrations, Licenses and Permits</w:t>
      </w:r>
      <w:r>
        <w:rPr>
          <w:rFonts w:ascii="Times New Roman;Times;Serif" w:hAnsi="Times New Roman;Times;Serif"/>
          <w:b w:val="false"/>
          <w:i w:val="false"/>
          <w:caps w:val="false"/>
          <w:smallCaps w:val="false"/>
          <w:sz w:val="20"/>
        </w:rPr>
        <w:t>. Each Medical Device Entity has obtained and maintains in full force and effect all registrations, filings, approvals, licenses, permits, certificates and other governmental authorizations required under applicable Law for the development, manufacture, testing, registration, importation, exportation, distribution, marketing, promotion and sale of each Medical Device manufactured, distributed, marketed or sold by such Medical Device Entity. All such registrations, filings, approvals, licenses, permits and certificates are valid and subsisting, have not expired, been suspended, revoked, cancelled or withdrawn, and, to the Company’s Knowledge, there exists no fact or circumstance that would reasonably be expected to result in the suspension, revocation, cancellation or withdrawal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PRC Medical Device Registration and Classification</w:t>
      </w:r>
      <w:r>
        <w:rPr>
          <w:rFonts w:ascii="Times New Roman;Times;Serif" w:hAnsi="Times New Roman;Times;Serif"/>
          <w:b w:val="false"/>
          <w:i w:val="false"/>
          <w:caps w:val="false"/>
          <w:smallCaps w:val="false"/>
          <w:sz w:val="20"/>
        </w:rPr>
        <w:t>. Each Medical Device manufactured, distributed, marketed or sold in the PRC has been properly classified under applicable PRC Law and, where required, has been duly filed with or registered by the applicable PRC Governmental Authority. Each Medical Device that is required to be registered with any applicable PRC Governmental Authority has a valid and effective registration certificate, and each Class I Medical Device that is required to be filed has been duly filed. No Medical Device Entity has marketed, manufactured, distributed or sold any Medical Device in the PRC for a use, indication, specification, patient population or other purpose materially outside the scope of its applicable registration certificate, filing, approval or other regulatory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Manufacturing and Quality Systems</w:t>
      </w:r>
      <w:r>
        <w:rPr>
          <w:rFonts w:ascii="Times New Roman;Times;Serif" w:hAnsi="Times New Roman;Times;Serif"/>
          <w:b w:val="false"/>
          <w:i w:val="false"/>
          <w:caps w:val="false"/>
          <w:smallCaps w:val="false"/>
          <w:sz w:val="20"/>
        </w:rPr>
        <w:t>. Each facility at which a Medical Device is manufactured, assembled, packaged, tested, stored or otherwise processed is operated in compliance in all material respects with applicable Law and applicable good manufacturing practice and quality-management requirements. Each Medical Device Entity maintains quality-management systems, manufacturing records, testing records, complaint files, adverse-event records, batch or lot records and other records required to be maintained under applicable Law. All such records are accurate, complete and maintained in accordance with applicable Law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U.S. Regulatory Compliance</w:t>
      </w:r>
      <w:r>
        <w:rPr>
          <w:rFonts w:ascii="Times New Roman;Times;Serif" w:hAnsi="Times New Roman;Times;Serif"/>
          <w:b w:val="false"/>
          <w:i w:val="false"/>
          <w:caps w:val="false"/>
          <w:smallCaps w:val="false"/>
          <w:sz w:val="20"/>
        </w:rPr>
        <w:t>. With respect to each Medical Device that is or has been manufactured, imported, marketed, distributed or sold in the United States, each Medical Device Entity has obtained and maintains all registrations, listings, clearances, approvals and other authorizations required by the FDA. No such Medical Device has been marketed in the United States without all applicable FDA clearance or approval required for such Medical Device, and no Medical Device Entity has made any false, misleading or materially incomplete statement or submission to the FDA or any other U.S. governmental authority in connection with any Medical Device. No Medical Device Entity has received any warning letter, Form 483, notice of violation, notice of adverse finding, untitled letter, import alert, seizure notice, injunction, civil money penalty, recall request or other material written communication from the FDA or any other U.S. Governmental Authority relating to any Medical Device or the manufacture, distribution, marketing or sale thereof that remains unresolved.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PRC Regulatory Inspections and Enforcement</w:t>
      </w:r>
      <w:r>
        <w:rPr>
          <w:rFonts w:ascii="Times New Roman;Times;Serif" w:hAnsi="Times New Roman;Times;Serif"/>
          <w:b w:val="false"/>
          <w:i w:val="false"/>
          <w:caps w:val="false"/>
          <w:smallCaps w:val="false"/>
          <w:sz w:val="20"/>
        </w:rPr>
        <w:t>. No Medical Device Entity has received any written notice from any PRC Governmental Authority alleging any material violation of applicable Laws relating to a Medical Device. No Medical Device Entity is subject to any pending or, to the Company’s Knowledge, threatened regulatory investigation, inspection, audit, administrative proceeding, suspension, prohibition, product seizure, product recall, license revocation or other enforcement proceeding relating to any Medical Device.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Clinical Trials and Clinical Evaluation</w:t>
      </w:r>
      <w:r>
        <w:rPr>
          <w:rFonts w:ascii="Times New Roman;Times;Serif" w:hAnsi="Times New Roman;Times;Serif"/>
          <w:b w:val="false"/>
          <w:i w:val="false"/>
          <w:caps w:val="false"/>
          <w:smallCaps w:val="false"/>
          <w:sz w:val="20"/>
        </w:rPr>
        <w:t>. All clinical trials, clinical evaluations, testing and other investigations conducted by or on behalf of any Medical Device Entity in connection with any Medical Device have been conducted in material compliance with applicable Laws and applicable regulatory requirements. No Medical Device Entity has received written notice from any applicable Governmental Authority alleging that any clinical trial, clinical evaluation or other investigation conducted by or on behalf of such Medical Device Entity failed to comply in any material respect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Recalls; Corrections and Removals; Adverse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There has been no voluntary or involuntary recall, field correction, field safety corrective action, market withdrawal or replacement of any Medical Device during the two-year period preceding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Governmental Authority has required or requested any such recall, correction, withdrawal or replacement;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Medical Device Entity has received any material written notice alleging that any Medical Device presents a material risk of death, serious injury or other material health or safety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Medical Device Entity has timely made all reports and notifications relating to adverse events, corrections, removals, recalls and other reportable events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val="false"/>
          <w:caps w:val="false"/>
          <w:smallCaps w:val="false"/>
          <w:sz w:val="20"/>
          <w:u w:val="single"/>
        </w:rPr>
        <w:t>Product Claims and Labeling</w:t>
      </w:r>
      <w:r>
        <w:rPr>
          <w:rFonts w:ascii="Times New Roman;Times;Serif" w:hAnsi="Times New Roman;Times;Serif"/>
          <w:b w:val="false"/>
          <w:i w:val="false"/>
          <w:caps w:val="false"/>
          <w:smallCaps w:val="false"/>
          <w:sz w:val="20"/>
        </w:rPr>
        <w:t>. All labeling, packaging, instructions for use, advertising, promotional materials and other materials used by or on behalf of any Medical Device Entity in connection with any Medical Device comply in all material respects with applicable Law and are consistent with the applicable regulatory approvals, registrations, filings and intended uses of such Medical Device. No Medical Device Entity has made any materially false, misleading or unsupported claim concerning the safety, efficacy, intended use or performance of any Medical Device.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val="false"/>
          <w:i w:val="false"/>
          <w:caps w:val="false"/>
          <w:smallCaps w:val="false"/>
          <w:sz w:val="20"/>
          <w:u w:val="single"/>
        </w:rPr>
        <w:t>No Material Regulatory Violation</w:t>
      </w:r>
      <w:r>
        <w:rPr>
          <w:rFonts w:ascii="Times New Roman;Times;Serif" w:hAnsi="Times New Roman;Times;Serif"/>
          <w:b w:val="false"/>
          <w:i w:val="false"/>
          <w:caps w:val="false"/>
          <w:smallCaps w:val="false"/>
          <w:sz w:val="20"/>
        </w:rPr>
        <w:t>. No Medical Device Entity has, during the two-year period preceding the date hereof, received any written notice of, or been subject to, any material violation, penalty, fine, suspension, revocation, seizure, injunction, consent decree or other material enforcement action relating to any Medical Device or its manufacture, development, testing, registration, approval, distribution, marketing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val="false"/>
          <w:i w:val="false"/>
          <w:caps w:val="false"/>
          <w:smallCaps w:val="false"/>
          <w:sz w:val="20"/>
          <w:u w:val="single"/>
        </w:rPr>
        <w:t>Foreign Regulatory Approvals</w:t>
      </w:r>
      <w:r>
        <w:rPr>
          <w:rFonts w:ascii="Times New Roman;Times;Serif" w:hAnsi="Times New Roman;Times;Serif"/>
          <w:b w:val="false"/>
          <w:i w:val="false"/>
          <w:caps w:val="false"/>
          <w:smallCaps w:val="false"/>
          <w:sz w:val="20"/>
        </w:rPr>
        <w:t>. To the extent any Medical Device is marketed, distributed, manufactured or sold outside the PRC or the United States, the applicable Medical Device Entity has obtained and maintains all material governmental registrations, approvals, licenses and permits required by the jurisdiction in which such Medical Device is marketed, distributed, manufactured or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val="false"/>
          <w:i w:val="false"/>
          <w:caps w:val="false"/>
          <w:smallCaps w:val="false"/>
          <w:sz w:val="20"/>
          <w:u w:val="single"/>
        </w:rPr>
        <w:t>No Untrue Regulatory Submissions</w:t>
      </w:r>
      <w:r>
        <w:rPr>
          <w:rFonts w:ascii="Times New Roman;Times;Serif" w:hAnsi="Times New Roman;Times;Serif"/>
          <w:b w:val="false"/>
          <w:i w:val="false"/>
          <w:caps w:val="false"/>
          <w:smallCaps w:val="false"/>
          <w:sz w:val="20"/>
        </w:rPr>
        <w:t>. All material applications, registrations, filings, submissions, reports and other documents submitted by or on behalf of any Medical Device Entity to the FDA or any other applicable Governmental Authority concerning any Medical Device were, when submitted, true, correct and complete in all material respects and did not contain any material misstatement or omission of fact necessary to make the statements therein, in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val="false"/>
          <w:i w:val="false"/>
          <w:caps w:val="false"/>
          <w:smallCaps w:val="false"/>
          <w:sz w:val="20"/>
          <w:u w:val="single"/>
        </w:rPr>
        <w:t>No Debarment or Exclusion</w:t>
      </w:r>
      <w:r>
        <w:rPr>
          <w:rFonts w:ascii="Times New Roman;Times;Serif" w:hAnsi="Times New Roman;Times;Serif"/>
          <w:b w:val="false"/>
          <w:i w:val="false"/>
          <w:caps w:val="false"/>
          <w:smallCaps w:val="false"/>
          <w:sz w:val="20"/>
        </w:rPr>
        <w:t>. No Medical Device Entity, or, to the Company’s Knowledge, any director, officer or employee principally responsible for regulatory compliance relating to the Medical Devices, is debarred, suspended or otherwise prohibited from participating in any federal health care program or from conducting activities regulated by the FDA or any other applicable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val="false"/>
          <w:i w:val="false"/>
          <w:caps w:val="false"/>
          <w:smallCaps w:val="false"/>
          <w:sz w:val="20"/>
          <w:u w:val="single"/>
        </w:rPr>
        <w:t>Cayman Holding Company</w:t>
      </w:r>
      <w:r>
        <w:rPr>
          <w:rFonts w:ascii="Times New Roman;Times;Serif" w:hAnsi="Times New Roman;Times;Serif"/>
          <w:b w:val="false"/>
          <w:i w:val="false"/>
          <w:caps w:val="false"/>
          <w:smallCaps w:val="false"/>
          <w:sz w:val="20"/>
        </w:rPr>
        <w:t>. The Company does not manufacture, distribute, market, sell or otherwise commercialize any Medical Device in the Cayman Islands. To the extent the Company conducts any activity in the Cayman Islands that is subject to medical, health-care or other regulatory requirements, the Company has obtained and maintains all licenses, registrations, permits and authorizations required for such activities and is in compliance in all material respects with applicable Cayman Islands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r>
        <w:rPr>
          <w:rFonts w:ascii="Times New Roman;Times;Serif" w:hAnsi="Times New Roman;Times;Serif"/>
          <w:b w:val="false"/>
          <w:i w:val="false"/>
          <w:caps w:val="false"/>
          <w:smallCaps w:val="false"/>
          <w:sz w:val="20"/>
          <w:u w:val="single"/>
        </w:rPr>
        <w:t>No Regulatory Change Required</w:t>
      </w:r>
      <w:r>
        <w:rPr>
          <w:rFonts w:ascii="Times New Roman;Times;Serif" w:hAnsi="Times New Roman;Times;Serif"/>
          <w:b w:val="false"/>
          <w:i w:val="false"/>
          <w:caps w:val="false"/>
          <w:smallCaps w:val="false"/>
          <w:sz w:val="20"/>
        </w:rPr>
        <w:t>. No Medical Device Entity has received written notice from any governmental authority that any existing registration, filing, license, permit, approval or certificate relating to any Medical Device is required to be materially modified, supplemented, renewed, replaced or withdrawn as a result of any change in applicable Law, regulatory classification, manufacturing process, product formulation, labeling, intended use or other circumstance.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i w:val="false"/>
          <w:caps w:val="false"/>
          <w:smallCaps w:val="false"/>
          <w:sz w:val="20"/>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foreign, state or other taxes, for which appropriate reserves have been made therefor in accordance with IFRS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The Company’s assets are and will be sufficient to conduct its operations as presently conducted and as proposed to be conducted as of the date hereof and as of each appliable Closing Date. The Company has not received any written notice alleging that it is in default under any lease. The Company is not in default under any lease in any respect beyond any and all applicable notice and cure periods. To the Company’s Knowledge, no landlord or other counterparty to any lease is in default of any of its obligations under any lease beyond any and all applicable notice and cure periods. To Company’s Knowledge, no event, occurrence, condition or act that, with the giving of notice, the lapse of time or the happening of any further event or condition, would constitute a default by the Company under any lease in any respect or otherwise cause any lease to cease to be legal, valid, binding, enforceable and in full force and effect. To the Company’s Knowledge, the Company has satisfied all monetary and non-monetary obligations under each lease, including all maintenance, repair, insurance, reporting, delivery of financial information, operational, and compliance obligations that are required to be performed by the Company.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Schedule 3.1(q)</w:t>
      </w:r>
      <w:r>
        <w:rPr>
          <w:rFonts w:ascii="Times New Roman;Times;Serif" w:hAnsi="Times New Roman;Times;Serif"/>
          <w:b w:val="false"/>
          <w:i w:val="false"/>
          <w:caps w:val="false"/>
          <w:smallCaps w:val="false"/>
          <w:sz w:val="20"/>
        </w:rPr>
        <w:t xml:space="preserve"> lists all (1) Company IP Registrations and (2) Company Intellectual Property, including Software, that is not registered but that is material to the Company’s business or operations. All required filings and fees related to the Company IP Registrations have been timely filed with and paid to the relevant Governmental Authorities (including without limitation and as applicable, any trademark registered under the Laws of the PRC or the United States and authorized registrars, and all Company IP Registrations are otherwise in good standing, except as listed on </w:t>
      </w:r>
      <w:r>
        <w:rPr>
          <w:rFonts w:ascii="Times New Roman;Times;Serif" w:hAnsi="Times New Roman;Times;Serif"/>
          <w:b w:val="false"/>
          <w:i w:val="false"/>
          <w:caps w:val="false"/>
          <w:smallCaps w:val="false"/>
          <w:sz w:val="20"/>
          <w:u w:val="single"/>
        </w:rPr>
        <w:t>Schedule 3.1(q)</w:t>
      </w:r>
      <w:r>
        <w:rPr>
          <w:rFonts w:ascii="Times New Roman;Times;Serif" w:hAnsi="Times New Roman;Times;Serif"/>
          <w:b w:val="false"/>
          <w:i w:val="false"/>
          <w:caps w:val="false"/>
          <w:smallCaps w:val="false"/>
          <w:sz w:val="20"/>
        </w:rPr>
        <w:t>. The Company has made available to the Investor true and complete copies of file histories, documents, certificates, office actions, correspondence and other materials related to all Company IP Registrations. There are no actions that must be taken by the Company (or any third party on the Company’s behalf) prior to the initial Closing Date, including the payment of any registration, maintenance or renewal fees or the filing of any responses to office actions, documents, applications or certificates for the purposes of obtaining, maintaining, perfecting, preserving or renewing any Company IP Registrations. To the Company’s Knowledge, there are no facts or circumstances that would render any Company IP Registrations invalid or unenforceable. To the Company’s Knowledge, there has been no misrepresentation or failure to disclose, any fact or circumstances in any application for any Company IP Registrations that would constitute fraud or a misrepresentation with respect to such application or that would otherwise affect the validity or enforceability of any Company IP Registrations. The Company has not claimed a particular status, including “small entity status,” in the application for any Company IP Registrations, which claim of status was not at the time made, or which has since become, inaccurate or false or that will no longer be true and accurate as a result of the any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Schedule 3.1(q)</w:t>
      </w:r>
      <w:r>
        <w:rPr>
          <w:rFonts w:ascii="Times New Roman;Times;Serif" w:hAnsi="Times New Roman;Times;Serif"/>
          <w:b w:val="false"/>
          <w:i w:val="false"/>
          <w:caps w:val="false"/>
          <w:smallCaps w:val="false"/>
          <w:sz w:val="20"/>
        </w:rPr>
        <w:t> lists all Company IP Agreements, if applicable, that are material to the Company’s business as it presently is being conducted. The Company has made available to the Investor true and complete copies of all such Company IP Agreements, including all modifications, amendments and supplements thereto and waivers thereunder. Each Company IP Agreement is valid and binding on the Company in accordance with its terms and is in full force and effect. Neither the Company, nor to the Company’s Knowledge any other party thereto, is in breach of or default under (or is alleged to be in breach of or default under), or has provided or received any notice of breach or default of or any intention to terminate, any Company IP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is the sole and exclusive legal and beneficial, and with respect to the Company IP Registrations, record owner of all right, title and interest in and to the Company Intellectual Property, or has the valid right to use all other Intellectual Property used in or necessary for the conduct of the Company’s current business or operations, in each case, free and clear of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has entered into binding, written agreements with every current and former employees since its inception, and with every current and former independent contractor since its inception, whereby such employees and independent contractors (i) assign to the Company any ownership interest and right they may have in the Company Intellectual Property; and (ii) acknowledge the Company’s exclusive ownership of all Company Intellectual Property. The Company has provided the Investor with true and complete copies of all such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consummation of the transactions contemplated hereunder will not result in the loss or impairment of or payment of any additional amounts with respect to, nor require the consent of any other Person in respect of, the Company’s right to own, use or hold for use any Intellectual Property as owned, used or held for use in the conduct of the Company’s business or operations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Company’s rights in the Company Intellectual Property are, and, since inception, have been, valid, subsisting and enforceable. The Company has taken all reasonable steps to maintain the Company Intellectual Property and to protect and preserve the confidentiality of all confidential information and trade secrets included in the Company Intellectual Property, including requiring all Persons having access thereto to execute written non-disclosure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conduct of the Company’s business as currently and formerly conducted, and the Company Products and related processes and infrastructure, have not infringed, misappropriated, diluted or otherwise violated, and do not and will not infringe, dilute, misappropriate or otherwise violate the Intellectual Property or other rights of any Person. To the Company’s Knowledge, no Person has infringed, misappropriated, diluted or otherwise violated, or is currently infringing, misappropriating, diluting or otherwise violating, any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As of the date hereof and as of each Closing Date, there are no Actions (including any oppositions, interferences or re-examinations) settled, pending or threatened (including in the form of offers to obtain a license or inquiries regarding the need to obtain a license): (i) alleging any infringement, misappropriation, dilution or violation of the Intellectual Property of any Person by the Company; (ii) challenging the validity, enforceability, registrability or ownership of any Company Intellectual Property or the Company’s rights with respect to any Company Intellectual Property; or (iii) by the Company or any other Person alleging any infringement, misappropriation, dilution or violation by any Person of the Company Intellectual Property. The Company is not subject to any outstanding or prospective governmental order (including any motion or petition therefor) that does or would restrict or impair the use of any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Except as set forth on </w:t>
      </w:r>
      <w:r>
        <w:rPr>
          <w:rFonts w:ascii="Times New Roman;Times;Serif" w:hAnsi="Times New Roman;Times;Serif"/>
          <w:b w:val="false"/>
          <w:i w:val="false"/>
          <w:caps w:val="false"/>
          <w:smallCaps w:val="false"/>
          <w:sz w:val="20"/>
          <w:u w:val="single"/>
        </w:rPr>
        <w:t>Schedule 3.1(q)</w:t>
      </w:r>
      <w:r>
        <w:rPr>
          <w:rFonts w:ascii="Times New Roman;Times;Serif" w:hAnsi="Times New Roman;Times;Serif"/>
          <w:b w:val="false"/>
          <w:i w:val="false"/>
          <w:caps w:val="false"/>
          <w:smallCaps w:val="false"/>
          <w:sz w:val="20"/>
        </w:rPr>
        <w:t>, none of, and neither the Company nor any Subsidiary has received written notice that any of, the Intellectual Property Rights has expired, terminated or been abandoned, or is expected to expire or terminate or be abandoned, within two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amount deemed prudent by the Company.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 The Company has no knowledge of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Customers and Suppliers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not received any notice, and to the Company’s Knowledge it has no reason to believe, that any of its Material Customers has ceased, or intends to cease after the Closing, to use the Company Products or to otherwise terminate or reduce its relationship or future orders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not received any notice, and has no reason to believe, that any of its Material Suppliers has ceased, or intends to cease, to supply goods or services to the Company or to otherwise terminate or reduce its relationship or future orders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Conformance with Specifications; Defects; Malicious Code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Company Products are fully transferable, alienable or licensable by the Company without restriction and without payment of any kind to any third party. The Company has not transferred ownership of, or granted any exclusive license of (or exclusive right to use), or authorized the retention of any exclusive rights to use or joint ownership of, any Company Product or any related Software or other Intellectual Property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Company Products conform in all material respects to all applicable warranties in all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Company’s Knowledge, none of the Company Products contain any bug, defect or error that materially adversely affects the functionality or performance of such Company Product against its applicable uses and specifications.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Company’s Knowledge, none of the Company Products, and no other Software used in the provision of any Company Product or otherwise in the operation of its business, contains any “time bomb,” “Trojan horse,” “back door,” “worm,” virus, malware, spyware, or other device or code (“</w:t>
      </w:r>
      <w:r>
        <w:rPr>
          <w:rFonts w:ascii="Times New Roman;Times;Serif" w:hAnsi="Times New Roman;Times;Serif"/>
          <w:b/>
          <w:i w:val="false"/>
          <w:caps w:val="false"/>
          <w:smallCaps w:val="false"/>
          <w:sz w:val="20"/>
        </w:rPr>
        <w:t>Malicious Code</w:t>
      </w:r>
      <w:r>
        <w:rPr>
          <w:rFonts w:ascii="Times New Roman;Times;Serif" w:hAnsi="Times New Roman;Times;Serif"/>
          <w:b w:val="false"/>
          <w:i w:val="false"/>
          <w:caps w:val="false"/>
          <w:smallCaps w:val="false"/>
          <w:sz w:val="20"/>
        </w:rPr>
        <w:t>”) designed or intended to, or that could reasonably be expected to, (A) disrupt, disable, harm or otherwise impair the normal and authorized operation of, or provide unauthorized access to, any computer system, hardware, firmware, network or device on which any Company Product or such other Software is installed, stored or used, or (B) damage, destroy or prevent the access to or use of any data or file without the user’s consent. The Company has taken reasonable steps designed to prevent the introduction of Malicious Code into the Company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Company’s Knowledge, the Company Systems are reasonably sufficient for the needs of the Company’s business as currently conducted, including as to capacity, scalability, and ability to process current and anticipated peak volumes in a timely manner. The Company Systems are in sufficiently good working condition to perform all information technology operations and include sufficient licensed capacity (whether in terms of authorized sites, units, users, seats or otherwise) for all Software, in each case as necessary for the conduct of the Company’s business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Since its inception, there has been no unauthorized access, use, intrusion or breach of security, or material failure, breakdown, performance reduction or other adverse event affecting any Company Systems, that has resulted in or could reasonably be expected to result in any: (A) substantial disruption of or interruption in or to the use of such Company Systems or the conduct of the Company’s business; or (B) material loss, destruction, damage or harm of or to Company or its operations, personnel, property or other assets. The Company has taken reasonable actions, consistent with applicable industry best practices in the Company’s industry, to protect the integrity and security of the Company Systems and the data and other information stored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maintains commercially reasonable back-up and data recovery, disaster recovery and business continuity plans, procedures and facilities, has acted in material compliance therewith, and has tested such plans and procedures on a regular basis, and such plans and procedures have been proven effective in all material respects upon such testing.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Data Privacy and Protection; Cybersecurity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complied with all Company Privacy Policies and with all applicable Laws and contracts to which it is a party relating to: (A) the privacy of customers or users of the Company Products, any website, product or service operated by or on behalf of the Company; and (B) the collection, storage, hosting, disclosure, transmission, transfer, disposal, other processing or security of any Customer Data or Personal Information by the Company or by third parties having authorized access to the records of the Company, with respect to each of (A) and (B) in all material respects. No claims have been asserted or, are threatened against the Company alleging a violation of any person’s privacy, confidentiality or other rights under any Company Privacy Policy, under any contract, or under any Law relating to any Customer Data or Personal Information. With respect to any Customer Data and Personal Information, the Company has taken commercially reasonable measures (including implementing and monitoring compliance with respect to technical and physical security) designed to safeguard such data against loss and against unauthorized access, use, modification, disclosure or other misuse. There has been no unauthorized access to or other misuse of any Customer Data and Personal Information. The Company has not received any complaint from any Person (including any action letter or other inquiry from any Governmental Authority) regarding the Company’s collection, storage, hosting, disclosure, transmission, transfer, disposal, other processing or security of Customer Data or Personal Information. There have been no facts or circumstances that would require Company to give notice to any customers, suppliers, consumers or other similarly situated Persons of any actual or perceived data security breaches pursuant to an applicable Laws requiring notice of such a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the Company is compliant with all Laws relating to data privacy and data protection, and the collection, storage, maintenance and transmission of personal data and health information, including, without limitation, the (A) Singapore’s Personal Data Protection Act ,Malaysia’s Personal Data Protection Act 2010 and the PRC’s Cybersecurity Review Measures, Cybersecurity Law, Data Security Law and Personal Information Protection Law and the Outbound Data Transfer Security Assessment Measures of the Cyberspace Administration of China, (B) the European General Data Protection Regulation, and (C) all other applicable Laws relating to cybersecurity, data privacy and protection and/or Customer Data or Personal Information. The Company is compliant with the agreements, terms and policies of, and has not reason to believe that it will not continue to have access to, the third party data hosting and transmission services and infrastructure it utilizes or anticipates utilizing in its operations as presently conducted or planned, including without limitation, Amazon Web Services, Google Cloud and Microsoft Azure Cloud.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has complied with the SEC’s rules related to cybersecurity risks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Other than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an independent contractor through an Affiliate,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awards under the Company’s 2024 Equity Incentive Plan (“</w:t>
      </w:r>
      <w:r>
        <w:rPr>
          <w:rFonts w:ascii="Times New Roman;Times;Serif" w:hAnsi="Times New Roman;Times;Serif"/>
          <w:b/>
          <w:i w:val="false"/>
          <w:caps w:val="false"/>
          <w:smallCaps w:val="false"/>
          <w:sz w:val="20"/>
        </w:rPr>
        <w:t>Related Party Transactions</w:t>
      </w:r>
      <w:r>
        <w:rPr>
          <w:rFonts w:ascii="Times New Roman;Times;Serif" w:hAnsi="Times New Roman;Times;Serif"/>
          <w:b w:val="false"/>
          <w:i w:val="false"/>
          <w:caps w:val="false"/>
          <w:smallCaps w:val="false"/>
          <w:sz w:val="20"/>
        </w:rPr>
        <w:t>”). Any Related Party Transactions reflect market terms and rates which would reasonably be expected to be obtained in an equivalent arms-length transaction with a third party, and were negotiated in good faith and on an arms-length basis. All Related Party Transactions are and have been, and have at all times been conducted in a manner which is, compliant with applicable Laws, including without limitation the Securities Act, the Exchange Act and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Except as set forth in the SEC Reports, the Company and the Subsidiaries are in material compliance with any and all applicable requirements of the Sarbanes-Oxley Act of 2002 that are effective as of the date hereof, and any and all applicable rules and regulations promulgated by the SEC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SEC’s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i w:val="false"/>
          <w:caps w:val="false"/>
          <w:smallCaps w:val="false"/>
          <w:sz w:val="20"/>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are reasonably likely to materially affect, the internal control over financial reporting of the Company and its Subsidiaries. All material weaknesses in the Company’s prior internal control over financial reporting have been remedied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Investor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Note,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Other than as set forth in the SEC Reports, no Person has any right to cause the Company or any Subsidiary to effect the registration under the Securities Act of any securities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or which to the Company’s Knowledge, is likely to have the effect of, terminating the registration of the Common Stock under the Exchange Act nor has the Company received any notification that the SEC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M&amp;A (or similar charter documents) or the Laws of its state of incorporation that is or could become applicable to the Investor as a result of the Investor and the Company fulfilling their obligations or exercising their rights under the Transaction Documents, including without limitation as a result of the Company’s issuance of the Note and the Investor’s ownership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Investor or their agents or counsel with any information that it believes constitutes or might constitute material, non-public information, which is not otherwise disclosed in the Prospectus Supplement. The Company understands and confirms that the Investor will rely on the foregoing representation in effecting transactions in securities of the Company. All of the disclosure furnished by or on behalf of the Company to the Investor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12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Investor makes or has made any representations or warranties with respect to the transactions contemplated hereby other than those specifically set forth in Section 3.2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Investor’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Note to be integrated with prior offerings by the Company for purposes of any applicable stockholder approval provisions of any Trading Market on which any of the securities of the Company are listed or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Based on the consolidated financial condition of the Company as of the Closing Date, after giving effect to the receipt by the Company of the proceeds from the sale of the Note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Neither the Company nor any Subsidiary is in default with respect to any Indebtedness. </w:t>
      </w:r>
      <w:r>
        <w:rPr>
          <w:rFonts w:ascii="Times New Roman;Times;Serif" w:hAnsi="Times New Roman;Times;Serif"/>
          <w:b w:val="false"/>
          <w:i w:val="false"/>
          <w:caps w:val="false"/>
          <w:smallCaps w:val="false"/>
          <w:sz w:val="20"/>
          <w:u w:val="single"/>
        </w:rPr>
        <w:t>Schedule 3.1(gg)</w:t>
      </w:r>
      <w:r>
        <w:rPr>
          <w:rFonts w:ascii="Times New Roman;Times;Serif" w:hAnsi="Times New Roman;Times;Serif"/>
          <w:b w:val="false"/>
          <w:i w:val="false"/>
          <w:caps w:val="false"/>
          <w:smallCaps w:val="false"/>
          <w:sz w:val="20"/>
        </w:rPr>
        <w:t xml:space="preserve"> sets forth as of the date hereof all outstanding secured and unsecured Indebtedness of the Company or any Subsidiary, or for which the Company or any Subsidiary has commitments. None of the Indebtedness is secured by any Lien or similar restrictions under applicable United States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Seniority</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3.1(hh)</w:t>
      </w:r>
      <w:r>
        <w:rPr>
          <w:rFonts w:ascii="Times New Roman;Times;Serif" w:hAnsi="Times New Roman;Times;Serif"/>
          <w:b w:val="false"/>
          <w:i w:val="false"/>
          <w:caps w:val="false"/>
          <w:smallCaps w:val="false"/>
          <w:sz w:val="20"/>
        </w:rPr>
        <w:t>, as of each Closing Date, no Indebtedness or other claim against the Company is or will be senior to any Note in right of payment, whether with respect to interest or upon liquidation or dissolution, or otherwise. As of each Closing Date, neither the Company nor any Subsidiary has outstanding any secured Indebtedness or has otherwise granted any security interests on its assets in any jurisdiction, including without limitation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The Company and its Subsidiaries each (i) has made or filed all material United States and foreign federal, state and local 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or any foreign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No Disagreements with Accountants and Lawyers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3.1(mm)</w:t>
      </w:r>
      <w:r>
        <w:rPr>
          <w:rFonts w:ascii="Times New Roman;Times;Serif" w:hAnsi="Times New Roman;Times;Serif"/>
          <w:b w:val="false"/>
          <w:i w:val="false"/>
          <w:caps w:val="false"/>
          <w:smallCaps w:val="false"/>
          <w:sz w:val="20"/>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Acknowledgment Regarding Investor’s Purchase of Note</w:t>
      </w:r>
      <w:r>
        <w:rPr>
          <w:rFonts w:ascii="Times New Roman;Times;Serif" w:hAnsi="Times New Roman;Times;Serif"/>
          <w:b w:val="false"/>
          <w:i w:val="false"/>
          <w:caps w:val="false"/>
          <w:smallCaps w:val="false"/>
          <w:sz w:val="20"/>
        </w:rPr>
        <w:t>. The Company acknowledges and agrees that the Investor is acting solely in the capacity of an arm’s length purchaser with respect to the Transaction Documents and the transactions contemplated thereby. The Company further acknowledges that no Investor is acting as a financial advisor or fiduciary of the Company (or in any similar capacity) with respect to the Transaction Documents and the transactions contemplated thereby and any advice given by the Investor or any of their respective representatives or agents in connection with the Transaction Documents and the transactions contemplated thereby is merely incidental to the Investor’ purchase of the Note. The Company further represents to the Investor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Acknowledgment Regarding Investor’s Trading Activity</w:t>
      </w:r>
      <w:r>
        <w:rPr>
          <w:rFonts w:ascii="Times New Roman;Times;Serif" w:hAnsi="Times New Roman;Times;Serif"/>
          <w:b w:val="false"/>
          <w:i w:val="false"/>
          <w:caps w:val="false"/>
          <w:smallCaps w:val="false"/>
          <w:sz w:val="20"/>
        </w:rPr>
        <w:t>. Notwithstanding anything in this Agreement or elsewhere herein to the contrary (except for Sections 3.2(g) and 4.14 hereof), it is understood and acknowledged by the Company that: (i) the Investor has not been asked by the Company to agree, nor has the Investor agreed, to desist from purchasing or selling, long and/or short, securities of the Company, or “derivative” securities based on securities issued by the Company or to hold the Note for any specified term, (ii) past or future open market or other transactions by the Investor, specifically including, without limitation, Short Sales or “derivative” transactions, before or after the closing of this or transaction, may negatively impact the market price of the Company’s publicly-traded securities, (iii) the Investor, and counter-parties in “derivative” transactions to which any such Investor is a party, directly or indirectly, presently may have a “short” position in the Common Stock and (iv) the Investor shall not be deemed to have any affiliation with or control over any arm’s length counter-party in any “derivative” transaction. The Company further understands and acknowledges that (y) the Investor may engage in hedging activities at various times during the period that the Note are outstanding, including, without limitation, during the periods that the value of the Conversion Shares deliverable with respect to the Notes are being determined,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Note, (ii) sold, bid for, purchased, or paid any compensation for soliciting purchases of, any of the Note, or (iii) paid or agreed to pay to any Person any compensation for soliciting another to purchase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Any certificate signed by any duly authorized officer of the Company and delivered to the Investor shall be deemed a representation and warranty by the Company to the Investor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val="false"/>
          <w:caps w:val="false"/>
          <w:smallCaps w:val="false"/>
          <w:sz w:val="20"/>
          <w:u w:val="single"/>
        </w:rPr>
        <w:t>D&amp;O Questionnaires</w:t>
      </w:r>
      <w:r>
        <w:rPr>
          <w:rFonts w:ascii="Times New Roman;Times;Serif" w:hAnsi="Times New Roman;Times;Serif"/>
          <w:b w:val="false"/>
          <w:i w:val="false"/>
          <w:caps w:val="false"/>
          <w:smallCaps w:val="false"/>
          <w:sz w:val="20"/>
        </w:rPr>
        <w:t>. To the Company’s Knowledge, all information contained in the questionnaires most recently completed by each of the Company’s directors and officers and beneficial owner of 5% or more of the Common Stock or Common Stock Equivalents is true and correct in all material respects and the Company has not become aware of any information which would cause the information disclosed in such questionnaires to become inaccurate and incorrect,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 Each stock option granted by the Company under the Company’s stock option plan, if any, was granted (i) in accordance with the terms of the Company’s 2024 Equity Incentive Plan and (ii) with an exercise price at least equal to the fair market value of the Common Stock on the date such stock option would be considered granted under IFRS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Investor’s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i w:val="false"/>
          <w:caps w:val="false"/>
          <w:smallCaps w:val="false"/>
          <w:sz w:val="20"/>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i w:val="false"/>
          <w:caps w:val="false"/>
          <w:smallCaps w:val="false"/>
          <w:sz w:val="20"/>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foreign money laundering statutes and applicable rules and regulations thereunder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or Proceeding by or before any court or Governmental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 (a) To the Knowledge of the Company,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and (b) the Company and the Subsidiaries have not been notified of, and has no Knowledge of any event or condition that would reasonably be expected to result in, any material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in the case of clauses (i) and (ii) herein,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Investor</w:t>
      </w:r>
      <w:r>
        <w:rPr>
          <w:rFonts w:ascii="Times New Roman;Times;Serif" w:hAnsi="Times New Roman;Times;Serif"/>
          <w:b w:val="false"/>
          <w:i w:val="false"/>
          <w:caps w:val="false"/>
          <w:smallCaps w:val="false"/>
          <w:sz w:val="20"/>
        </w:rPr>
        <w:t>. The Investor, for itself and for no other Investor,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Investor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Investor of the transactions contemplated by the Transaction Documents have been duly authorized by all necessary corporate, partnership, limited liability company or similar action, as applicable, on the part of such Investor. Each Transaction Document to which it is a party has been duly executed by such Investor, and when delivered by such Investor in accordance with the terms hereof, will constitute the valid and legally binding obligation of such Investor,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Experience of Such Investor</w:t>
      </w:r>
      <w:r>
        <w:rPr>
          <w:rFonts w:ascii="Times New Roman;Times;Serif" w:hAnsi="Times New Roman;Times;Serif"/>
          <w:b w:val="false"/>
          <w:i w:val="false"/>
          <w:caps w:val="false"/>
          <w:smallCaps w:val="false"/>
          <w:sz w:val="20"/>
        </w:rPr>
        <w:t>. Such Investor, either alone or together with its representatives, has such knowledge, sophistication and experience in business and financial matters so as to be capable of evaluating the merits and risks of the prospective investment in the Note, and has so evaluated the merits and risks of such investment. Such Investor is able to bear the economic risk of an investment in the Note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Investor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Note and the merits and risks of investing in the Note;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to other Persons party to this Agreement or to such Investor’s representatives, including, without limitation, its officers, directors, partners, legal and other advisors, employees, agents and Affiliates, such Investor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Investor’s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OTHER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Note and Underlying Shares shall be issued pursuant to the Registration Statement, and a Prospectus Supplement thereto and free of all restrictive or other legends. The Company shall pay all costs associated with any legal opinions or other documents requested or required by the Transfer Agent in connection with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Investor does not hold any Securities, the Company covenants and agrees to (A) if for any reason the Registration Statement does not result in the issuance to the Investor of the Note or any Underlying Shares (including upon conversion of the Notes) which are registered and freely tradable in accordance with the Securities Act, maintain the effectiveness of the Registration Statement and take all action necessary, including without limitation filing and causing to be declared effective with the SEC an amendment thereto or a replacement Registration Statement on Form F-3, or on Form F-1 if not then eligible for use of Form F-3, to register and maintain sufficient capacity thereon for purposes of enabling the Investor to sell all Shares and Underlying Shares; (B) refrain from conducting or registering any sales of securities under the Registration Statement or any other registration statement in a manner which reduces, limits or precludes, or which could have the effect of reducing, limiting or precluding, the Investor’s ability to sell all Shares and Underlying Shares issuable or potentially issuable pursuant to the Transaction Documents thereon, and (C) maintain the registration of the Common Stock under Section 12(b) or 12(g) of the Exchange Act and to timely file (or obtain extensions in respect thereof and file within the applicable grace period) all reports required to be filed by an issuer required to file reports under Section 12(g) of the Exchange Act after the date hereof pursuant to the Exchange Act even if the Company is not then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during the period commencing from the six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 (i)(1)(i) or becomes an issuer in the future, and the Company shall fail to satisfy any condition set forth in Rule 144(i)(2) (a “Public Information Failure”) then, in addition to the Investor’s other available remedies, the Company shall pay to the Investor, in cash, as partial liquidated damages and not as a penalty, by reason of any such delay in or reduction of its ability to sell the Securities, an amount in cash equal to two percent of the aggregate Subscription Amount of the Investor’s Securities on the day of a Public Information Failure and on every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(pro-rated for periods totaling less than 30 days) thereafter until the earlier of (a) the date such Public Information Failure is cured and (b) such time that such public information is no longer required for the Investor to transfer the Underlying Shares pursuant to Rule 144. The payments to which the Investor shall be entitled pursuant to this Section 4.3(b) are referred to herein as “Public Information Failure Payments.” Public Information Failure Payments shall be paid on the earlier of (i) the last day of the calendar month during which such Public Information Failure Payments are incurred and (ii) the third Business Day after the event or failure giving rise to the Public Information Failure Payments is cured. In the event the Company fails to make Public Information Failure Payments in a timely manner, such Public Information Failure Payments shall bear interest at the rate of one and one-half percent per month (prorated for partial months) until paid in full. Nothing herein shall limit the Investor’s right to pursue actual damages for the Public Information Failure, and the Investor shall have the right to pursue all remedies available to it at law or in equity including, without limitation, a decree of specific performance and/or injunctive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Note for purposes of the rules and regulations of any Trading Market such that it would require stockholder approval prior to the closing of such other transaction unless stockholder approval is obtained before the closing of such subsequent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Current Report on Form 6-K, including the Transaction Documents as exhibits thereto, with the SEC within the time required by the Exchange Act. From and after the issuance of such press release, the Company represents to the Investor that it shall have publicly disclosed all material, non-public information delivered to any of the Investor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Investor or any of their Affiliates on the other hand, shall terminate and be of no further force or effect. The Company understands and confirms that the Investor shall be relying on the foregoing covenant in effecting transactions in securities of the Company. The Company and the Investor shall consult with each other in issuing any other press releases with respect to the transactions contemplated hereby, and neither the Company nor any Investor shall issue any such press release nor otherwise make any such public statement without the prior consent of the Company, with respect to any press release of any Investor, or without the prior consent of the Investor,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Investor, or include the name of any Investor in any filing with the SEC or any regulatory agency or Trading Market, without the prior written consent of such Investor, except (a) as required by federal securities Law in connection with the filing of final Transaction Documents with the SEC and (b) to the extent such disclosure is required by Law or Trading Market regulations, in which case the Company shall provide the Investor with prior notice of such disclosure permitted under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Stockholder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Investor is an “</w:t>
      </w:r>
      <w:r>
        <w:rPr>
          <w:rFonts w:ascii="Times New Roman;Times;Serif" w:hAnsi="Times New Roman;Times;Serif"/>
          <w:b/>
          <w:i w:val="false"/>
          <w:caps w:val="false"/>
          <w:smallCaps w:val="false"/>
          <w:sz w:val="20"/>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Investor could be deemed to trigger the provisions of any such plan or arrangement, by virtue of receiving a Note under the Transaction Documents or under any other agreement between the Company and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4.4 and except for any Investor who is an officer or director of the Company the Company covenants and agrees that neither it, nor any other Person acting on its behalf will provide any Investor or its agents or counsel with any information that constitutes, or the Company reasonably believes constitutes, material non-public information, unless prior thereto such Investor shall have consented to the receipt of such information and agreed with the Company to keep such information confidential. The Company understands and confirms that the Investor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Investor without such Investor’s consent, the Company hereby covenants and agrees that such Investor shall not have any duty of confidentiality to the Company, any of its Subsidiaries, or any of their respective officers, directors, agents, including, employees or Affiliates, or a duty to the Company, any of its Subsidiaries or any of their respective officers, directors, agents, employees or Affiliates not to trade on the basis of, such material, non-public information, provided that the Investor shall remain subject to applicable Law. To the extent that any notice provided pursuant to any Transaction Document constitutes, or contains, material, non-public information regarding the Company or any Subsidiaries, the Company shall simultaneously file such notice with the SEC pursuant to a Current Report on Form 6-K. The Company understands and confirms that the Investor shall be relying on the foregoing covenant in effecting transactions in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Note as set forth in the Prospectus Supplement. The Company shall not use such proceeds in violation of FCPA or OFAC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Indemnification of the Investor</w:t>
      </w:r>
      <w:r>
        <w:rPr>
          <w:rFonts w:ascii="Times New Roman;Times;Serif" w:hAnsi="Times New Roman;Times;Serif"/>
          <w:b w:val="false"/>
          <w:i w:val="false"/>
          <w:caps w:val="false"/>
          <w:smallCaps w:val="false"/>
          <w:sz w:val="20"/>
        </w:rPr>
        <w:t>. Subject to the provisions of this Section 4.8, the Company will indemnify and hold the Investor and its directors, officers, shareholders, members, partners, employees and agents (and any other Persons with a functionally equivalent role of a Person holding such titles notwithstanding a lack of such title or any other title), each Person who controls such Investor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i w:val="false"/>
          <w:caps w:val="false"/>
          <w:smallCaps w:val="false"/>
          <w:sz w:val="20"/>
        </w:rPr>
        <w:t>Investor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Investor Party may suffer or incur as a result of or relating to (a) any breach of any of the representations, warranties, covenants or agreements made by the Company in this Agreement or in the other Transaction Documents, (b) any action instituted against the Investor Parties in any capacity, or any of them or their respective Affiliates, by any stockholder of the Company who is not an Affiliate of such Investor Party, with respect to any of the transactions contemplated by the Transaction Documents (unless such action is solely based upon a material breach of such Investor Party’s representations, warranties or covenants under the Transaction Documents or any agreements or understandings such Investor Party may have with any such stockholder or any violations by such Investor Party of state or federal securities Laws or any conduct by such Investor Party which is finally judicially determined to constitute fraud, gross negligence or willful misconduct) or (c) in connection with any registration statement of the Company providing for the resale by the Investor of the Conversion Shares, the Company will indemnify each Investor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Investor Party furnished in writing to the Company by such Investor Party expressly for use therein, or (ii) any violation or alleged violation by the Company of the Securities Act, the Exchange Act or any state securities law, or any rule or regulation thereunder in connection therewith). If any action shall be brought against any Investor Party in respect of which indemnity may be sought pursuant to this Agreement, such Investor Party shall promptly notify the Company in writing, and the Company shall have the right to assume the defense thereof with counsel of its own choosing reasonably acceptable to the Investor Party. Any Investor Party shall have the right to employ separate counsel in any such action and participate in the defense thereof, but the fees and expenses of such counsel shall be at the expense of such Investor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Investor Party, in which case the Company shall be responsible for the reasonable fees and expenses of no more than one such separate counsel and any local counsel. The Company will not be liable to any Investor Party under this Agreement (y) for any settlement by the Investor Party effected without the Company’s prior written consent, which shall not be unreasonably withheld or delayed; or (z) to the extent, but only to the extent that a loss, claim, damage or liability is attributable to any Investor Party’s breach of any of the representations, warranties, covenants or agreements made by such Investor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Investor Party against the Company or others and any liabilities the Company may be subject to pursuant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Reservation and Listing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maintain a reserve of the Required Minimum from its duly authorized Common Stock for issuance pursuant to the Transaction Documents in such amount as may then be required to fulfill its obligations in full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on any date, the number of authorized but unissued (and otherwise unreserved) shares of Common Stock is less than the Required Minimum on such date, then the Company and its Board of Directors shall use commercially reasonable efforts to obtain the requisite shareholder approval required under Cayman Islands law to amend the Company’s M&amp;A to increase the maximum number of authorized but unissued Common Stock to at least the Required Minimum at such time, as soon as possible and in any event not later than the 75th day after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if applicable: (i) in the time and manner required by the Principal Market, prepare and file with such Trading Market an additional shares listing application covering a number of shares of Common Stock at least equal to the Required Minimum on the date of such application, (ii) take all steps necessary to cause such Common Stock to be approved for listing or quotation on such Trading Market as soon as possible thereafter, (iii) provide to the Investor evidence of such listing or quotation and (iv) maintain the listing or quotation of such Common Stock on any date at least equal to the Required Minimum on such date on such Trading Market or another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Listing of Common Stock</w:t>
      </w:r>
      <w:r>
        <w:rPr>
          <w:rFonts w:ascii="Times New Roman;Times;Serif" w:hAnsi="Times New Roman;Times;Serif"/>
          <w:b w:val="false"/>
          <w:i w:val="false"/>
          <w:caps w:val="false"/>
          <w:smallCaps w:val="false"/>
          <w:sz w:val="20"/>
        </w:rPr>
        <w:t>. The Company hereby agrees to use commercially reasonable efforts to maintain the listing or quotation of the Common Stock on the Trading Market on which it is currently listed, and concurrently with the Closing, the Company shall apply to list or quote all of the Conversion Shares on such Trading Market and promptly secure the listing of all of the Conversion Shares on such Trading Market. The Company further agrees, if the Company applies to have the Common Stock traded on any other, and will take such other action as is necessary to cause all of the Conversion Shares and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Participation in Future 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18-month anniversary of the date of this Agreement, upon any issuance by the Company or any of its Subsidiaries of Common Stock or Common Stock Equivalents for cash consideration, Indebtedness or a combination of units thereof (a “Subsequent Financing”), the Investor shall have the right to participate in aggregate up to an amount of the Subsequent Financing equal to 25% of the Subsequent Financing (the “Participation Maximum”) on the same terms, conditions and price provided for in the Subsequent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least five Trading Days prior to the closing of the Subsequent Financing (or 48 hours in the event such Subsequent Financing is a public offering off of a shelf registration statement, or 12 hours in the event such Subsequent Financing is an intra-day registered direct offering off of a shelf registration statement (in which the offering occurs within one Trading Day), or such shorter time as the Investor in its sole discretion may permit), the Company shall deliver to the Investor a written notice of its intention to effect a Subsequent Financing (“Pre-Notice”), which Pre-Notice shall ask the Investor if it wants to review the details of such financing (such additional notice, a “Subsequent Financing Notice”). Upon the request of the Investor, and only upon a request by the Investor, for a Subsequent Financing Notice, the Company shall promptly, but no later than one Trading Day after such request (or three hours in the event such Subsequent Financing is a public offering off of a shelf registration statement), deliver a Subsequent Financing Notice to the Investor.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or similar document relating thereto as an attachment.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Investor desiring to participate in such Subsequent Financing must provide written notice to the Company by not later than 5:30 p.m. (Eastern Time) on the third Trading Day after the Investor has received the Pre-Notice that the Investor is willing to participate in the Subsequent Financing (or three hours in the event such Subsequent Financing is a public offering off of a shelf registration statement), the amount of the Investor’s participation, and representing and warranting that the Investor has such funds ready, willing, and available for investment on the terms set forth in the Subsequent Financing Notice. If the Company receives no such notice from the Investor as of such third Trading Day, the Investor shall be deemed to have notified the Company that it does not elect to participate.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by 5:30 p.m. (Eastern Time) on the third Trading Day after the Investor has received the Pre-Notice, notification by the Investor of its willingness to participate in the Subsequent Financing (or to cause its designees to participate) has been provided (or three hours in the event such Subsequent Financing is a public offering off of a shelf registration statement), then the Company may effect the remaining portion of such Subsequent Financing on the terms and with the Persons set forth in the Subsequent Financing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by 5:30 p.m. (Eastern Time) on the fifth Trading Day after the Investor has received the Pre-Notice, the Company receives responses to a Subsequent Financing Notice from the Investor seeking to purchase more than the aggregate amount of the Participation Maximum, the Investor shall have the right to purchase up to the Participation Maximum, but not if such Subsequent Financing is a public offering off of a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must provide the Investor with a second Subsequent Financing Notice, and the Investor will again have the right of participation set forth above in this Section 4.1</w:t>
      </w: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if the Subsequent Financing subject to the initial Subsequent Financing Notice is not consummated for any reason on the terms set forth in such Subsequent Financing Notice within 45 days after the date of the initial Subsequent Financing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and the Investor agree that if the Investor elects to participate in the Subsequent Financing, the transaction documents related to the Subsequent Financing shall not include any term or provision that, directly or indirectly, will, or is intended to, exclude the Investor from participating in a Subsequent Financing, including, but not limited to, provisions whereby the Investor shall be required to agree to any restrictions on trading as to any securities of the Company or be required to consent to any amendment to or termination of, or grant any waiver, release or the like under or in connection with, this Agreement, without the prior written consent of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anything to the contrary in this Section 4.1</w:t>
      </w: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and unless otherwise agreed to by the Investor, the Company shall either confirm in writing to the Investor that the transaction with respect to the Subsequent Financing has been abandoned or shall publicly disclose its intention to issue the securities in the Subsequent Financing, in either case in such a manner such that the Investor will not be in possession of any material, non-public information, by the 10th Business Day following delivery of the Subsequent Financing Notice. If by such 10th Business Day, no public disclosure regarding a transaction with respect to the Subsequent Financing has been made, and no notice regarding the abandonment of such transaction has been received by the Investor, such transaction shall be deemed to have been abandoned and the Investor shall not be deemed to be in possession of any material, non-public information with respect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addition, if while the Note is outstanding the Company receives cash proceeds from any financing including the sale of any securities or any commercial Indebtedness which is Permitted Indebtedness (as defined in the Note), the Investor shall have the option exercisable on at least three Trading Days prior written notice to cause the Company to use up to 25% of the net proceeds of any such financing to prepay all or part of the Note at its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Section 4.1</w:t>
      </w: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shall not apply in respect of an Exempt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180 days after the Closing, neither the Company nor any Subsidiary shall (i) issue, enter into any agreement to issue or sell shares of Common Stock or Common Stock Equivalents, including the granting of options or other rights to purchase Common Stock or Common Stock Equivalents to any Person other than directors and employees, except for an Exempt Issuance, including but not limited to any equity compensation plan, incentive plan or similar plan, or announce the issuance or proposed issuance of any shares of Common Stock or Common Stock Equivalents, or (ii) file any registration statement or any amendment or supplement thereto, in each case other than as contemplated pursuant to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hereof until such time as the Investor does not hold any Note, the Company shall be prohibited from effecting or entering into an agreement to effect any issuance by the Company or any of its Subsidiaries of Common Stock or Common Stock Equivalents (or a combination of units thereof) involving a Variable Rate Transaction. “Variable Rate Transaction” means any transaction in which the Company (i) issues or sells any debt or equity securities that are convertible into, exchangeable or exercisable for, or include the right to receive, additional Common Stock where the future issuance of Common Stock at a price may vary including but not limited to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whereby the Company may issue securities at a future determined price. The Investor consents to the Company using an at-the-market offering or equity line of credit as long as within two Business Days of receipt of any proceeds, the Company uses 50% of such proceeds to repay the Note with any such proceeds being first applied to Interest. The Company’s right to use an equity line of credit shall require the Company to obtain the prior consent of the Investor which consent shall be withheld in the Investor’s sole discretion if the terms are not as favorable as terms offered by the Investor. The Investor shall be entitled to obtain injunctive relief against the Company to preclude any such issuance, which remedy shall be in addition to any right to collect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While any Note is outstanding, if the Company issues any equity option, warrant or similar instrument which contains an “alternative cashless exercise” provision that provides for the exercise of such security without payment of the exercise price in cash and does not require the security to be “in the money,” the Investor shall be entitled to obtain injunctive relief against the Company to preclude any such issuance, which remedy shall be in addition to any right to collect damages. In any Action brought under Section 4.13(a) or (b) to obtain injunctive relief, the Investor shall not have to please or prove irreparable harm or lack of adequate remedy at law and shall not be required to post a bond or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Pre-Delivery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w:t>
      </w:r>
      <w:r>
        <w:rPr>
          <w:rFonts w:ascii="Times New Roman;Times;Serif" w:hAnsi="Times New Roman;Times;Serif"/>
          <w:b w:val="false"/>
          <w:i w:val="false"/>
          <w:caps w:val="false"/>
          <w:smallCaps w:val="false"/>
          <w:sz w:val="20"/>
        </w:rPr>
        <w:t>. Subject to the Beneficial Ownership Limitation, beginning on the date on which no Note is outstanding, and for a period ending on the six-month anniversary of such date (the “</w:t>
      </w:r>
      <w:r>
        <w:rPr>
          <w:rFonts w:ascii="Times New Roman;Times;Serif" w:hAnsi="Times New Roman;Times;Serif"/>
          <w:b/>
          <w:i w:val="false"/>
          <w:caps w:val="false"/>
          <w:smallCaps w:val="false"/>
          <w:sz w:val="20"/>
        </w:rPr>
        <w:t>Purchase Right Period</w:t>
      </w:r>
      <w:r>
        <w:rPr>
          <w:rFonts w:ascii="Times New Roman;Times;Serif" w:hAnsi="Times New Roman;Times;Serif"/>
          <w:b w:val="false"/>
          <w:i w:val="false"/>
          <w:caps w:val="false"/>
          <w:smallCaps w:val="false"/>
          <w:sz w:val="20"/>
        </w:rPr>
        <w:t>”), the Investor will have the right, but not the obligation, to purchase all or any portion or portions of the Pre-Delivery Shares at the Fixed Conversion Price (as defined in the Note) as in effect (which for this purpose shall be determined as if the Note was still outstanding as of such time). Any such purchase shall be made in the manner and subject to the same procedure and mechanism set forth in the Note for conversions (including Section 4.4 thereof). The Investor hereby covenants and agrees that if the Investor holds any Pre-Delivery Shares after the end of the Purchase Right Period which have not been purchased pursuant to the Transaction Documents, such remaining Pre-Delivery Shares shall be deemed surrendered and cancelled by the Investor on such date subject to compliance with the Companies Act (As Revised) of the Cayman Islands and all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Registration of Pre-Delivery Shares</w:t>
      </w:r>
      <w:r>
        <w:rPr>
          <w:rFonts w:ascii="Times New Roman;Times;Serif" w:hAnsi="Times New Roman;Times;Serif"/>
          <w:b w:val="false"/>
          <w:i w:val="false"/>
          <w:caps w:val="false"/>
          <w:smallCaps w:val="false"/>
          <w:sz w:val="20"/>
        </w:rPr>
        <w:t>. The Company shall register and maintain the registration of the sale and issuance and the Investor’s resale of any Pre-Delivery Shares delivered pursuant to the Transaction Documents (including pursuant to the provisions of Section 4.4 of the Note) on the Registration Statement in accordance with the other provisions of this Agreement and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Note Provisions</w:t>
      </w:r>
      <w:r>
        <w:rPr>
          <w:rFonts w:ascii="Times New Roman;Times;Serif" w:hAnsi="Times New Roman;Times;Serif"/>
          <w:b w:val="false"/>
          <w:i w:val="false"/>
          <w:caps w:val="false"/>
          <w:smallCaps w:val="false"/>
          <w:sz w:val="20"/>
        </w:rPr>
        <w:t>. The Pre-Delivery Shares shall be subject to the provisions of the Note, including Section 4.4 of the Note, which provisions are incorporated herein by reference and which provisions shall survive the termination or expiration of the Note until the end of the Purchase Right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Pre-Delivery Shares Held In Abeyance</w:t>
      </w:r>
      <w:r>
        <w:rPr>
          <w:rFonts w:ascii="Times New Roman;Times;Serif" w:hAnsi="Times New Roman;Times;Serif"/>
          <w:b w:val="false"/>
          <w:i w:val="false"/>
          <w:caps w:val="false"/>
          <w:smallCaps w:val="false"/>
          <w:sz w:val="20"/>
        </w:rPr>
        <w:t>. For the avoidance of doubt and subject to compliance with the Companies Act (As Revised) of the Cayman Islands and all applicable laws, notwithstanding anything herein to the contrary, Pre-Delivery Shares shall not be issued under this Agreement or otherwise, and the Investor shall not be deemed to have the right to vote or dispose of any Pre-Delivery Shares or to beneficially own the Pre-Delivery Shares, to the extent such event would result in the Beneficial Ownership Limitation being exceeded, and in such case any such Excess Shares (as such term is defined in the Note) shall be held in abeyance for the benefit of the Investor until such time or times, if ever, as such issuance and the Investor’s right thereto would not result in the Investor and its Affiliates exceeding the Beneficial Ownership Limitation, at which time or times the Company shall issue such Excess Shares to the Investor subject to and in accordance with this Agreement and the Note. For the avoidance of doubt, to the extent any of the initial Pre-Delivery Shares deliverable at the Closing under Section 2.2 would be in excess of the Beneficial Ownership Limitation if issued, such Pre-Delivery Shares shall not be issued and shall instead be held in abeyance and deemed to be Excess Shares for purposes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The Investor, severally and not jointly with any other Investor, covenants that until such time as the transactions contemplated by this Agreement are publicly disclosed by the Company pursuant to the initial press release as described in Section 4.4, such Investor will maintain the confidentiality of the existence and terms of this transaction. Notwithstanding the foregoing and notwithstanding anything contained in this Agreement to the contrary, the Company expressly acknowledges and agrees that (i) no Investor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Investor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Investor shall have any duty of confidentiality or duty not to trade in the securities of the Company to the Company or its Subsidiaries, or any of their respective officers, directors, employees, Affiliates or agents, including, after the issuance of the initial press release as described in Section 4.4. Notwithstanding the foregoing, in the case of the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covenant set forth above shall only apply with respect to the portion of assets managed by the portfolio manager that made the investment decision to purchase the Note covered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Capital Changes</w:t>
      </w:r>
      <w:r>
        <w:rPr>
          <w:rFonts w:ascii="Times New Roman;Times;Serif" w:hAnsi="Times New Roman;Times;Serif"/>
          <w:b w:val="false"/>
          <w:i w:val="false"/>
          <w:caps w:val="false"/>
          <w:smallCaps w:val="false"/>
          <w:sz w:val="20"/>
        </w:rPr>
        <w:t>. From the date hereof until such time as the Investor does not hold any of the Note or the Conversion Shares, to the extent permissible under Caymen Islands law, the Company shall not undertake a share subdivision, share consolidation or reclassification of, or an increase to the par value of, the Common Stock without the prior written consent of the Investor, other than a reverse share split that is required, in the good faith determination of the Board of Directors, to maintain the listing of the Common Stock on the Principal Market. The Company shall use its reasonable best efforts, and otherwise in accordance with the applicable requirements of Cayman Islands law, to obtain requisite corporate approval of, and such documentation and further action as is required by the Cayman Islands for, a reverse share split within a pre-approved range to be determined at the discretion of the Board of Directors for purposes of maintaining compliance with the minimum bid price requirements of the Principal Market (a “</w:t>
      </w:r>
      <w:r>
        <w:rPr>
          <w:rFonts w:ascii="Times New Roman;Times;Serif" w:hAnsi="Times New Roman;Times;Serif"/>
          <w:b/>
          <w:i w:val="false"/>
          <w:caps w:val="false"/>
          <w:smallCaps w:val="false"/>
          <w:sz w:val="20"/>
        </w:rPr>
        <w:t>Pre-Approved Reverse Split</w:t>
      </w:r>
      <w:r>
        <w:rPr>
          <w:rFonts w:ascii="Times New Roman;Times;Serif" w:hAnsi="Times New Roman;Times;Serif"/>
          <w:b w:val="false"/>
          <w:i w:val="false"/>
          <w:caps w:val="false"/>
          <w:smallCaps w:val="false"/>
          <w:sz w:val="20"/>
        </w:rPr>
        <w:t>”). In addition, the Company shall use its best efforts to cause such Pre-Approved Reverse Split to be effected and reflected on the records of the Depository Trust Company and the Principal Market prior to the commencement of any delisting procedures in accordance with Principal Market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acknowledges that the issuance of the Note may result in dilution of the outstanding shares of Common Stock, which dilution may be substantial under certain market conditions. The Company further acknowledges that its obligations under the Transaction Documents, including, without limitation, its obligation to issue the Conversion Shares in accordance with the Note, are unconditional and absolute and not subject to any right of set off, counterclaim, delay or reduction, regardless of the effect of any such dilution or any claim the Company may have against the Investor and regardless of the dilutive effect that such issuance may have on the ownership of the other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Form 6-K; Need to Conform Six Months Financial Statements.</w:t>
      </w:r>
      <w:r>
        <w:rPr>
          <w:rFonts w:ascii="Times New Roman;Times;Serif" w:hAnsi="Times New Roman;Times;Serif"/>
          <w:b w:val="false"/>
          <w:i w:val="false"/>
          <w:caps w:val="false"/>
          <w:smallCaps w:val="false"/>
          <w:sz w:val="20"/>
        </w:rPr>
        <w:t xml:space="preserve"> As long as the Securities are outstanding, the Company shall file a Form 6-K containing six months’ financial statements within 120 days of the end of the applicable six month period, and include in such Form 6-K footnotes to the financial statements and a complete Management’s Discussion and Analysis and Results of Operations and fully comply with Item 303 of Regulation S-K even though the Company is a foreign private issuer. Without limiting the generality of the foregoing, the Company shall file its annual report on Form 20-F containing financial information for the 12 months ending December 31, 2026, and in form and substance which adheres to the preceding sentence, on or before May 15,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w:t>
      </w:r>
      <w:r>
        <w:rPr>
          <w:rFonts w:ascii="Times New Roman;Times;Serif" w:hAnsi="Times New Roman;Times;Serif"/>
          <w:b w:val="false"/>
          <w:i w:val="false"/>
          <w:caps w:val="false"/>
          <w:smallCaps w:val="false"/>
          <w:sz w:val="20"/>
          <w:u w:val="single"/>
        </w:rPr>
        <w:t>Conversion Procedures</w:t>
      </w:r>
      <w:r>
        <w:rPr>
          <w:rFonts w:ascii="Times New Roman;Times;Serif" w:hAnsi="Times New Roman;Times;Serif"/>
          <w:b w:val="false"/>
          <w:i w:val="false"/>
          <w:caps w:val="false"/>
          <w:smallCaps w:val="false"/>
          <w:sz w:val="20"/>
        </w:rPr>
        <w:t>. The form of Notice of Conversion included in the Note sets forth the totality of the procedures required of the Investor in order to convert the Note. No additional legal opinion, other information or instructions shall be required of the Investor to convert the Note. Without limiting the preceding sentences, no ink-original Notice of Conversion shall be required, nor shall any medallion guarantee (or other type of guarantee or notarization) of any Notice of Conversion form be required in order to convert the Note. The Company shall honor conversion of the Note and shall deliver Conversion Shares in accordance with the terms, conditions and time periods set forth in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            </w:t>
      </w:r>
      <w:r>
        <w:rPr>
          <w:rFonts w:ascii="Times New Roman;Times;Serif" w:hAnsi="Times New Roman;Times;Serif"/>
          <w:b w:val="false"/>
          <w:i w:val="false"/>
          <w:caps w:val="false"/>
          <w:smallCaps w:val="false"/>
          <w:sz w:val="20"/>
          <w:u w:val="single"/>
        </w:rPr>
        <w:t>Maintenance of DTC Eligibility</w:t>
      </w:r>
      <w:r>
        <w:rPr>
          <w:rFonts w:ascii="Times New Roman;Times;Serif" w:hAnsi="Times New Roman;Times;Serif"/>
          <w:b w:val="false"/>
          <w:i w:val="false"/>
          <w:caps w:val="false"/>
          <w:smallCaps w:val="false"/>
          <w:sz w:val="20"/>
        </w:rPr>
        <w: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            </w:t>
      </w:r>
      <w:r>
        <w:rPr>
          <w:rFonts w:ascii="Times New Roman;Times;Serif" w:hAnsi="Times New Roman;Times;Serif"/>
          <w:b w:val="false"/>
          <w:i w:val="false"/>
          <w:caps w:val="false"/>
          <w:smallCaps w:val="false"/>
          <w:sz w:val="20"/>
          <w:u w:val="single"/>
        </w:rPr>
        <w:t>Compliance With Negative Covenants</w:t>
      </w:r>
      <w:r>
        <w:rPr>
          <w:rFonts w:ascii="Times New Roman;Times;Serif" w:hAnsi="Times New Roman;Times;Serif"/>
          <w:b w:val="false"/>
          <w:i w:val="false"/>
          <w:caps w:val="false"/>
          <w:smallCaps w:val="false"/>
          <w:sz w:val="20"/>
        </w:rPr>
        <w:t>. The Company agrees that it shall not take any action to or cause any of its Subsidiaries to breach the negative covenants contained in the Note and any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the Investor, as to such Investor’s obligations hereunder only and without any effect whatsoever on the obligations between the Company and the other Investor, by written notice to the other parties, if the Closing has not been consummated on or before the fifth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The Company shall reimburse the Investor’s counsel for legal fees and expenses, of which $25,000 has been paid in advance. The Investor may withhold form its Subscription Amount any fee and expenses due to its counsel at the Closing.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the Investor), stamp taxes and other taxes and duties levied in connection with the delivery of any Note to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 the email address as set forth on the signature pages attached hereto at or prior to 5:30 p.m. (New York, New York time) on a Trading Day, (b) the next Trading Day after the time of transmission, if such notice or communication is delivered via facsimile at the facsimile number or email at the email address as set forth on the signature pages attached hereto on a day that is not a Trading Day or later than 5:30 p.m. (New York, New York time) on any Trading Day, (c) the second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of the Subsidiaries, the Company shall simultaneously file such notice with the SEC pursuant to a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xml:space="preserve">. No provision of this Agreement may be waived, modified, supplemented or amended except in a written instrument signed, in the case of an amendment, by the Company and the Investor or, in the case of a waiver, by the party against whom enforcement of any such waived provision is sought,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amendment, modification or waiver disproportionately and adversely impacts the Investor, the consent of such disproportionately impacted Investor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the Investor and holder of Note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Investor (other than by merger). Any Investor may assign any or all of its rights under this Agreement to any Person to whom such Investor assigns or transfers any Note, provided that such transferee agrees in writing to be bound, with respect to the transferred Note, by the provisions of the Transaction Documents that apply to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New York County, New York. Each party hereby irrevocably submits to the exclusive jurisdiction of the state and federal courts located in New York County,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xml:space="preserve">. Notwithstanding anything to the contrary contained in (and without limiting any similar provisions of) any of the other Transaction Documents, whenever the Investor exercises a right, election, demand or option under a Transaction Document and the Company does not timely perform its related obligations within the periods therein provided, then the Investor may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a rescission of a conversion of a Note, the applicable Investor shall be required to return any shares of Common Stock subject to any such rescinded exercise notice concurrently with the return to such Investor of the aggregate exercise price paid to the Company for such shares and the restoration of such Investor’s right to acquire such Conversion Shares pursuant to such Investor’s Note (including, issuance of a Note, if applicable, evidencing such restored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Replacement of Note</w:t>
      </w:r>
      <w:r>
        <w:rPr>
          <w:rFonts w:ascii="Times New Roman;Times;Serif" w:hAnsi="Times New Roman;Times;Serif"/>
          <w:b w:val="false"/>
          <w:i w:val="false"/>
          <w:caps w:val="false"/>
          <w:smallCaps w:val="false"/>
          <w:sz w:val="20"/>
        </w:rPr>
        <w:t>. If any certificate or instrument evidencing any Note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No bond or similar instrument shall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Investor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Investor pursuant to any Transaction Document or the Investor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5044" w:type="dxa"/>
        <w:jc w:val="left"/>
        <w:tblInd w:w="0" w:type="dxa"/>
        <w:tblLayout w:type="fixed"/>
        <w:tblCellMar>
          <w:top w:w="0" w:type="dxa"/>
          <w:left w:w="0" w:type="dxa"/>
          <w:bottom w:w="0" w:type="dxa"/>
          <w:right w:w="0" w:type="dxa"/>
        </w:tblCellMar>
      </w:tblPr>
      <w:tblGrid>
        <w:gridCol w:w="2563"/>
        <w:gridCol w:w="2406"/>
        <w:gridCol w:w="75"/>
      </w:tblGrid>
      <w:tr>
        <w:trPr/>
        <w:tc>
          <w:tcPr>
            <w:tcW w:w="4969"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For and on behalf of</w:t>
            </w:r>
          </w:p>
        </w:tc>
        <w:tc>
          <w:tcPr>
            <w:tcW w:w="75" w:type="dxa"/>
            <w:tcBorders/>
            <w:vAlign w:val="center"/>
          </w:tcPr>
          <w:p>
            <w:pPr>
              <w:pStyle w:val="TableContents"/>
              <w:bidi w:val="0"/>
              <w:spacing w:before="0" w:after="283"/>
              <w:jc w:val="left"/>
              <w:rPr/>
            </w:pPr>
            <w:r>
              <w:rPr/>
              <w:t> </w:t>
            </w:r>
          </w:p>
        </w:tc>
      </w:tr>
      <w:tr>
        <w:trPr/>
        <w:tc>
          <w:tcPr>
            <w:tcW w:w="496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Baird MEDICAL INVESTMENT HOLDINGS LIMITED</w:t>
            </w:r>
          </w:p>
        </w:tc>
        <w:tc>
          <w:tcPr>
            <w:tcW w:w="75" w:type="dxa"/>
            <w:tcBorders/>
            <w:vAlign w:val="center"/>
          </w:tcPr>
          <w:p>
            <w:pPr>
              <w:pStyle w:val="TableContents"/>
              <w:bidi w:val="0"/>
              <w:spacing w:before="0" w:after="283"/>
              <w:jc w:val="left"/>
              <w:rPr/>
            </w:pPr>
            <w:r>
              <w:rPr/>
              <w:t> </w:t>
            </w:r>
          </w:p>
        </w:tc>
      </w:tr>
      <w:tr>
        <w:trPr/>
        <w:tc>
          <w:tcPr>
            <w:tcW w:w="496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5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0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9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49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r>
        <w:trPr/>
        <w:tc>
          <w:tcPr>
            <w:tcW w:w="496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9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496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5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40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INVESTOR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 SIGNATURE PAGE TO </w:t>
      </w:r>
      <w:r>
        <w:rPr>
          <w:rFonts w:ascii="Times New Roman;Times;Serif" w:hAnsi="Times New Roman;Times;Serif"/>
          <w:b w:val="false"/>
          <w:i w:val="false"/>
          <w:caps/>
          <w:sz w:val="20"/>
        </w:rPr>
        <w:t xml:space="preserve">BAIRD </w:t>
      </w:r>
      <w:r>
        <w:rPr>
          <w:rFonts w:ascii="Times New Roman;Times;Serif" w:hAnsi="Times New Roman;Times;Serif"/>
          <w:b w:val="false"/>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Investor: 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Investor: 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Investor: 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Instructions for Securities to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Subscription Amount: </w:t>
      </w:r>
      <w:r>
        <w:rPr>
          <w:rFonts w:ascii="Times New Roman;Times;Serif" w:hAnsi="Times New Roman;Times;Serif"/>
          <w:b w:val="false"/>
          <w:i w:val="false"/>
          <w:caps w:val="false"/>
          <w:smallCaps w:val="false"/>
          <w:sz w:val="20"/>
          <w:u w:val="single"/>
        </w:rPr>
        <w:t>$4,000,000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Principal Amount: 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Blocker ☐ 4.99% or ☐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second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 w:name="tm2626149d1_ex10-2.htm"/>
      <w:bookmarkStart w:id="7" w:name="kstm2626149d1_ex102"/>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Baird Medical Investment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8% Original Issue Discount Convertible Promissory Note</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695"/>
        <w:gridCol w:w="2555"/>
      </w:tblGrid>
      <w:tr>
        <w:trPr/>
        <w:tc>
          <w:tcPr>
            <w:tcW w:w="3695" w:type="dxa"/>
            <w:tcBorders/>
            <w:vAlign w:val="center"/>
          </w:tcPr>
          <w:p>
            <w:pPr>
              <w:pStyle w:val="TableContents"/>
              <w:bidi w:val="0"/>
              <w:spacing w:before="0" w:after="283"/>
              <w:ind w:left="0" w:right="0" w:hanging="200"/>
              <w:jc w:val="left"/>
              <w:rPr>
                <w:sz w:val="20"/>
              </w:rPr>
            </w:pPr>
            <w:r>
              <w:rPr>
                <w:sz w:val="20"/>
              </w:rPr>
              <w:t>Original Issuance Date: September [__], 2026</w:t>
            </w:r>
          </w:p>
        </w:tc>
        <w:tc>
          <w:tcPr>
            <w:tcW w:w="2555" w:type="dxa"/>
            <w:tcBorders/>
            <w:vAlign w:val="center"/>
          </w:tcPr>
          <w:p>
            <w:pPr>
              <w:pStyle w:val="TableContents"/>
              <w:bidi w:val="0"/>
              <w:spacing w:before="0" w:after="283"/>
              <w:ind w:left="0" w:right="0" w:hanging="200"/>
              <w:jc w:val="left"/>
              <w:rPr/>
            </w:pPr>
            <w:r>
              <w:rPr/>
              <w:t>Principal: $4,347,826</w:t>
            </w:r>
          </w:p>
        </w:tc>
      </w:tr>
      <w:tr>
        <w:trPr/>
        <w:tc>
          <w:tcPr>
            <w:tcW w:w="3695" w:type="dxa"/>
            <w:tcBorders/>
            <w:vAlign w:val="center"/>
          </w:tcPr>
          <w:p>
            <w:pPr>
              <w:pStyle w:val="TableContents"/>
              <w:bidi w:val="0"/>
              <w:spacing w:before="0" w:after="283"/>
              <w:ind w:left="0" w:right="0" w:hanging="200"/>
              <w:jc w:val="both"/>
              <w:rPr/>
            </w:pPr>
            <w:r>
              <w:rPr>
                <w:sz w:val="20"/>
              </w:rPr>
              <w:t>Maturity Date: September [__], 202</w:t>
            </w:r>
            <w:r>
              <w:rPr/>
              <w:t>6</w:t>
            </w:r>
          </w:p>
        </w:tc>
        <w:tc>
          <w:tcPr>
            <w:tcW w:w="2555" w:type="dxa"/>
            <w:tcBorders/>
            <w:vAlign w:val="center"/>
          </w:tcPr>
          <w:p>
            <w:pPr>
              <w:pStyle w:val="TableContents"/>
              <w:bidi w:val="0"/>
              <w:spacing w:before="0" w:after="283"/>
              <w:jc w:val="both"/>
              <w:rPr/>
            </w:pPr>
            <w:r>
              <w:rPr/>
              <w:t>Loan Amount: $4,000,000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Baird Medical Investment Holdings Limited, a Cayman Islands exempted company limited by shares (the “</w:t>
      </w:r>
      <w:r>
        <w:rPr>
          <w:rFonts w:ascii="Times New Roman;Times;Serif" w:hAnsi="Times New Roman;Times;Serif"/>
          <w:b w:val="false"/>
          <w:i w:val="false"/>
          <w:caps w:val="false"/>
          <w:smallCaps w:val="false"/>
          <w:sz w:val="20"/>
          <w:u w:val="single"/>
        </w:rPr>
        <w:t>Maker</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hereby promises to pay to the order of [ ],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the principal sum of $4,347,826 (the “</w:t>
      </w:r>
      <w:r>
        <w:rPr>
          <w:rFonts w:ascii="Times New Roman;Times;Serif" w:hAnsi="Times New Roman;Times;Serif"/>
          <w:b w:val="false"/>
          <w:i w:val="false"/>
          <w:caps w:val="false"/>
          <w:smallCaps w:val="false"/>
          <w:sz w:val="20"/>
          <w:u w:val="single"/>
        </w:rPr>
        <w:t>Principal</w:t>
      </w:r>
      <w:r>
        <w:rPr>
          <w:rFonts w:ascii="Times New Roman;Times;Serif" w:hAnsi="Times New Roman;Times;Serif"/>
          <w:b w:val="false"/>
          <w:i w:val="false"/>
          <w:caps w:val="false"/>
          <w:smallCaps w:val="false"/>
          <w:sz w:val="20"/>
        </w:rPr>
        <w:t>”) pursuant to the terms of this Senior Original Issue 8% Discount Convertible Promissory Note (this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In exchange for delivery of this Note on the Original Issuance Date referred to above (the “</w:t>
      </w:r>
      <w:r>
        <w:rPr>
          <w:rFonts w:ascii="Times New Roman;Times;Serif" w:hAnsi="Times New Roman;Times;Serif"/>
          <w:b w:val="false"/>
          <w:i w:val="false"/>
          <w:caps w:val="false"/>
          <w:smallCaps w:val="false"/>
          <w:sz w:val="20"/>
          <w:u w:val="single"/>
        </w:rPr>
        <w:t>Original Issuance Date”)</w:t>
      </w:r>
      <w:r>
        <w:rPr>
          <w:rFonts w:ascii="Times New Roman;Times;Serif" w:hAnsi="Times New Roman;Times;Serif"/>
          <w:b w:val="false"/>
          <w:i w:val="false"/>
          <w:caps w:val="false"/>
          <w:smallCaps w:val="false"/>
          <w:sz w:val="20"/>
        </w:rPr>
        <w:t>, the Holder shall lend the Maker $4,000,000 in United States dollars net of an original issuance discount of $347,826.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converted pursuant to the terms of Article 3, the Maturity Date of this Note shall be 12 months from the Original Issuance Date of this Note, which is specified above, unless the Holder has given notice to the Maker that it elects to accelerate the Maturity Date to the extent explicitly permitted by this Note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The Maturity Date is the date upon which the Principal and other amounts shall be due and payable unless earlier due or prepaid or converted. This Note may not be repaid in whole or in part except as otherwise explicitly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secured by a first priority security interest pursuant to the Security Agreement and the Pledge Agreement in each case as defined in and in the form attached as an exhibit to the Purchase Agreement. The full amount of this Note and all the cash payment obligations of the Company under the Transaction Documents is and shall be guaranteed in full by each Subsidiary, pursuant to the Guarantee Agreement as defined in and in the form attached as an exhibit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This Note has been executed and delivered pursuant to, and is issued pursuant to, the Securities Purchase Agreement entered into by and between the Company and the Holder dated as of Original Issuance Date set forth above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and is subject to, and incorporates, the provisions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This Note has been issued with an original issue discount and no interest shall accrue hereunder prior to the occurrence of an Event of Default. From and after the occurrence and during the continuance of any Event of Default, interest shall accrue hereunder at a rate equal to 15% per annum or, if less, the highest amount permitted by Law (such interest upon an Event of Default shall be referred to as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Default Interest</w:t>
      </w:r>
      <w:r>
        <w:rPr>
          <w:rFonts w:ascii="Times New Roman;Times;Serif" w:hAnsi="Times New Roman;Times;Serif"/>
          <w:b w:val="false"/>
          <w:i w:val="false"/>
          <w:caps w:val="false"/>
          <w:smallCaps w:val="false"/>
          <w:sz w:val="20"/>
        </w:rPr>
        <w:t>” and such interest rate, the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shall compound monthly based upon a 360-day year, and shall be due and payable on the first Trading Day of each month during the continuance of such Event of Default (a “</w:t>
      </w:r>
      <w:r>
        <w:rPr>
          <w:rFonts w:ascii="Times New Roman;Times;Serif" w:hAnsi="Times New Roman;Times;Serif"/>
          <w:b w:val="false"/>
          <w:i w:val="false"/>
          <w:caps w:val="false"/>
          <w:smallCaps w:val="false"/>
          <w:sz w:val="20"/>
          <w:u w:val="single"/>
        </w:rPr>
        <w:t>Default Interest Payment Date</w:t>
      </w:r>
      <w:r>
        <w:rPr>
          <w:rFonts w:ascii="Times New Roman;Times;Serif" w:hAnsi="Times New Roman;Times;Serif"/>
          <w:b w:val="false"/>
          <w:i w:val="false"/>
          <w:caps w:val="false"/>
          <w:smallCaps w:val="false"/>
          <w:sz w:val="20"/>
        </w:rPr>
        <w:t xml:space="preserve">”). In the event that such Event of Default is subsequently cured and no other Event of Default then exists (including, without limitation, for the Company’s failure to pay such Default Interest on the applicable Default Interest Payment Date), the Default Interest shall cease to accrue hereunder as of the day immediately following the date of such cure;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02020"/>
          <w:sz w:val="20"/>
        </w:rPr>
        <w:t>1.3            </w:t>
      </w:r>
      <w:r>
        <w:rPr>
          <w:rFonts w:ascii="Times New Roman;Times;Serif" w:hAnsi="Times New Roman;Times;Serif"/>
          <w:b w:val="false"/>
          <w:i w:val="false"/>
          <w:caps w:val="false"/>
          <w:smallCaps w:val="false"/>
          <w:sz w:val="20"/>
          <w:u w:val="single"/>
        </w:rPr>
        <w:t>Holder Prepayment Election Upon Subsequent Financing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02020"/>
          <w:sz w:val="20"/>
        </w:rPr>
        <w:t xml:space="preserve">If following the Original Issuance Date while this Note is outstanding, the Maker directly or indirectly receives proceeds from and closes any kind of financing including through the issuance of any equity securities or Indebtedness except for an Exempt Issuance, the Maker shall give written notice to the Holder within one </w:t>
      </w:r>
      <w:r>
        <w:rPr>
          <w:rFonts w:ascii="Times New Roman;Times;Serif" w:hAnsi="Times New Roman;Times;Serif"/>
          <w:b w:val="false"/>
          <w:i w:val="false"/>
          <w:caps w:val="false"/>
          <w:smallCaps w:val="false"/>
          <w:sz w:val="20"/>
        </w:rPr>
        <w:t xml:space="preserve">Trading </w:t>
      </w:r>
      <w:r>
        <w:rPr>
          <w:rFonts w:ascii="Times New Roman;Times;Serif" w:hAnsi="Times New Roman;Times;Serif"/>
          <w:b w:val="false"/>
          <w:i w:val="false"/>
          <w:caps w:val="false"/>
          <w:smallCaps w:val="false"/>
          <w:color w:val="202020"/>
          <w:sz w:val="20"/>
        </w:rPr>
        <w:t>Day, and the Holder within 10 Trading Days after receipt of such written notice may require the Company to use up to 25% of the net proceeds of any such financing (other than proceeds received from an Affiliate of the Company), or 50% of the net proceeds in the case of an at-the-market offering or equity line of credit, to prepay the Principal and any accrued and unpaid interest, pursuant to which the Company shall pay the Holder an</w:t>
      </w:r>
      <w:r>
        <w:rPr>
          <w:rFonts w:ascii="Times New Roman;Times;Serif" w:hAnsi="Times New Roman;Times;Serif"/>
          <w:b w:val="false"/>
          <w:i w:val="false"/>
          <w:caps w:val="false"/>
          <w:smallCaps w:val="false"/>
          <w:sz w:val="20"/>
        </w:rPr>
        <w:t xml:space="preserve"> amount equal to the Principal plus accrued and unpaid interest being prepaid</w:t>
      </w:r>
      <w:r>
        <w:rPr>
          <w:rFonts w:ascii="Times New Roman;Times;Serif" w:hAnsi="Times New Roman;Times;Serif"/>
          <w:b w:val="false"/>
          <w:i w:val="false"/>
          <w:caps w:val="false"/>
          <w:smallCaps w:val="false"/>
          <w:color w:val="2020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Company Prepayment</w:t>
      </w:r>
      <w:r>
        <w:rPr>
          <w:rFonts w:ascii="Times New Roman;Times;Serif" w:hAnsi="Times New Roman;Times;Serif"/>
          <w:b w:val="false"/>
          <w:i w:val="false"/>
          <w:caps w:val="false"/>
          <w:smallCaps w:val="false"/>
          <w:sz w:val="20"/>
        </w:rPr>
        <w:t xml:space="preserve">. In addition to Section 1.3, at any time after the Original Issuance Date and provided that as of such time: (A) no Event of Default has occurred, (B) the closing prices of the Common stock are below or equal to 115% of the Fixed Conversion Price, (C) the Equity Conditions are then met and (D) the Maker and the Holder mutually consent, the Maker may prepay all of the outstanding Principal </w:t>
      </w:r>
      <w:r>
        <w:rPr>
          <w:rFonts w:ascii="Times New Roman;Times;Serif" w:hAnsi="Times New Roman;Times;Serif"/>
          <w:b w:val="false"/>
          <w:i w:val="false"/>
          <w:caps w:val="false"/>
          <w:smallCaps w:val="false"/>
          <w:color w:val="202020"/>
          <w:sz w:val="20"/>
        </w:rPr>
        <w:t>and any accrued and unpaid interest</w:t>
      </w:r>
      <w:r>
        <w:rPr>
          <w:rFonts w:ascii="Times New Roman;Times;Serif" w:hAnsi="Times New Roman;Times;Serif"/>
          <w:b w:val="false"/>
          <w:i w:val="false"/>
          <w:caps w:val="false"/>
          <w:smallCaps w:val="false"/>
          <w:sz w:val="20"/>
        </w:rPr>
        <w:t xml:space="preserve"> (as applicable, the “</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upon at least 10 Trading Days’ written notice to the Holder (the “</w:t>
      </w:r>
      <w:r>
        <w:rPr>
          <w:rFonts w:ascii="Times New Roman;Times;Serif" w:hAnsi="Times New Roman;Times;Serif"/>
          <w:b w:val="false"/>
          <w:i w:val="false"/>
          <w:caps w:val="false"/>
          <w:smallCaps w:val="false"/>
          <w:sz w:val="20"/>
          <w:u w:val="single"/>
        </w:rPr>
        <w:t>Prepayment Notice</w:t>
      </w:r>
      <w:r>
        <w:rPr>
          <w:rFonts w:ascii="Times New Roman;Times;Serif" w:hAnsi="Times New Roman;Times;Serif"/>
          <w:b w:val="false"/>
          <w:i w:val="false"/>
          <w:caps w:val="false"/>
          <w:smallCaps w:val="false"/>
          <w:sz w:val="20"/>
        </w:rPr>
        <w:t>”) by paying an amount equal to 115% of the Principal Amount being prepaid (representing a 15% prepayment premium) (as applicable, the (the “</w:t>
      </w:r>
      <w:r>
        <w:rPr>
          <w:rFonts w:ascii="Times New Roman;Times;Serif" w:hAnsi="Times New Roman;Times;Serif"/>
          <w:b w:val="false"/>
          <w:i w:val="false"/>
          <w:caps w:val="false"/>
          <w:smallCaps w:val="false"/>
          <w:sz w:val="20"/>
          <w:u w:val="single"/>
        </w:rPr>
        <w:t>Prepayment Amount</w:t>
      </w:r>
      <w:r>
        <w:rPr>
          <w:rFonts w:ascii="Times New Roman;Times;Serif" w:hAnsi="Times New Roman;Times;Serif"/>
          <w:b w:val="false"/>
          <w:i w:val="false"/>
          <w:caps w:val="false"/>
          <w:smallCaps w:val="false"/>
          <w:sz w:val="20"/>
        </w:rPr>
        <w:t>”). If the Maker elects to prepay this Note pursuant to the provisions of this Section 1.4, the Holder shall have the right, upon written notice to the Maker within 10 Trading Days following the Prepayment Notice (such notice, a “</w:t>
      </w:r>
      <w:r>
        <w:rPr>
          <w:rFonts w:ascii="Times New Roman;Times;Serif" w:hAnsi="Times New Roman;Times;Serif"/>
          <w:b w:val="false"/>
          <w:i w:val="false"/>
          <w:caps w:val="false"/>
          <w:smallCaps w:val="false"/>
          <w:sz w:val="20"/>
          <w:u w:val="single"/>
        </w:rPr>
        <w:t>Prepayment Conversion Notice</w:t>
      </w:r>
      <w:r>
        <w:rPr>
          <w:rFonts w:ascii="Times New Roman;Times;Serif" w:hAnsi="Times New Roman;Times;Serif"/>
          <w:b w:val="false"/>
          <w:i w:val="false"/>
          <w:caps w:val="false"/>
          <w:smallCaps w:val="false"/>
          <w:sz w:val="20"/>
        </w:rPr>
        <w:t>” and such 10 Trading Day period, the “</w:t>
      </w:r>
      <w:r>
        <w:rPr>
          <w:rFonts w:ascii="Times New Roman;Times;Serif" w:hAnsi="Times New Roman;Times;Serif"/>
          <w:b w:val="false"/>
          <w:i w:val="false"/>
          <w:caps w:val="false"/>
          <w:smallCaps w:val="false"/>
          <w:sz w:val="20"/>
          <w:u w:val="single"/>
        </w:rPr>
        <w:t>Prepayment Notice Period</w:t>
      </w:r>
      <w:r>
        <w:rPr>
          <w:rFonts w:ascii="Times New Roman;Times;Serif" w:hAnsi="Times New Roman;Times;Serif"/>
          <w:b w:val="false"/>
          <w:i w:val="false"/>
          <w:caps w:val="false"/>
          <w:smallCaps w:val="false"/>
          <w:sz w:val="20"/>
        </w:rPr>
        <w:t>”) provided to the Maker at any time during the Prepayment Notice Period, to convert up to one-third of the Principal Amount at the Conversion Price (as defined below), in accordance with the provisions of Article 3, specifying the portion of the Principal Amount that the Holder will convert, provided, however, that such conversion is by mutual consent of the Maker and the Holder. Upon delivery of a Prepayment Notice, the Maker irrevocably and unconditionally agrees to: (i) issue the applicable Conversion Shares to the Holder in accordance with Article 3 with respect to any Prepayment Conversion Notice, and (ii) immediately following the end of the Prepayment Notice Period, prepay the remaining outstanding Principal Amount. The foregoing notwithstanding, the Maker may not deliver a Prepayment Notice with respect to any outstanding Principal Amount that is subject to a Conversion Notice delivered by the Holder in accordance with Article 3. Notwithstanding anything to the contrary contained herein, any prepayments made under this Note, including the provisions of this Section 1.4, shall be subject in all cases to the terms of the Purchase Agreement. If any of the Equity Conditions shall cease to be satisfied at any time during the Prepayment Notice Period or if an Event of Default occurs, then the Holder may elect to nullify the Prepayment Notice by notice to the Company within three Trading Days after the first day on which any such Equity Condition has not been met or Event of Default has occurred (provided that if, by a provision of the Transaction Documents, the Company is obligated to notify the Holder of the non-existence of an Equity Condition, such notice period shall be extended to the third Trading Day after proper notice from the Company) in which case the Prepayment Notice shall be null and void, ab initio. The Company covenants and agrees that it will honor all Conversion Notices tendered from the time of delivery of the Prepayment Notice through the date all amounts owing thereon are due and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Replacement</w:t>
      </w:r>
      <w:r>
        <w:rPr>
          <w:rFonts w:ascii="Times New Roman;Times;Serif" w:hAnsi="Times New Roman;Times;Serif"/>
          <w:b w:val="false"/>
          <w:i w:val="false"/>
          <w:caps w:val="false"/>
          <w:smallCaps w:val="false"/>
          <w:sz w:val="20"/>
        </w:rPr>
        <w:t>. Upon receipt of a duly executed Affidavit of Loss and Indemnity Agreement in customary form from the Holder with respect to the loss, theft or destruction of this Note (or any replacement hereof), or, in the case of a mutilation of this Note, upon surrender and cancellation of such Note, the Maker shall issue a new Note, of like tenor and amount, in lieu of such lost, stolen, destroyed or mutilated Note. The Holder shall not be required to post a bond or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Status of Note</w:t>
      </w:r>
      <w:r>
        <w:rPr>
          <w:rFonts w:ascii="Times New Roman;Times;Serif" w:hAnsi="Times New Roman;Times;Serif"/>
          <w:b w:val="false"/>
          <w:i w:val="false"/>
          <w:caps w:val="false"/>
          <w:smallCaps w:val="false"/>
          <w:sz w:val="20"/>
        </w:rPr>
        <w:t>. As of the Closing Date, the Company has no secured Indebtedness that would rank senior to this Note in right of payment. The obligations of the Maker under this Note shall rank senior to all existing and future Indebtedness and equity of the Company and are secured by the first lien security interest in the Collateral (as defined in the Security Agreement) pursuant to the Security Documents, other than any Additional Note(s) with which the obligations under this Note shall rank pari passu pursuant to the terms of the Security Documents. Upon any Liquidation Event (as hereinafter defined), but subject in all cases to the Purchase Agreement, the Holder will be entitled to receive, before any distribution or payment is made upon, or set apart with respect to, any Indebtedness of the Maker ranking junior to this Note in right of payment, an amount equal to the outstanding Principal, Interest and any other sums due. For purposes of this Note, “</w:t>
      </w:r>
      <w:r>
        <w:rPr>
          <w:rFonts w:ascii="Times New Roman;Times;Serif" w:hAnsi="Times New Roman;Times;Serif"/>
          <w:b w:val="false"/>
          <w:i w:val="false"/>
          <w:caps w:val="false"/>
          <w:smallCaps w:val="false"/>
          <w:sz w:val="20"/>
          <w:u w:val="single"/>
        </w:rPr>
        <w:t>Liquidation Event</w:t>
      </w:r>
      <w:r>
        <w:rPr>
          <w:rFonts w:ascii="Times New Roman;Times;Serif" w:hAnsi="Times New Roman;Times;Serif"/>
          <w:b w:val="false"/>
          <w:i w:val="false"/>
          <w:caps w:val="false"/>
          <w:smallCaps w:val="false"/>
          <w:sz w:val="20"/>
        </w:rPr>
        <w:t>” means merger or consolidation of the Company with another entity in which the Company is not the surviving entity (except where the sole purpose is to change the domicile of the Company), the sale of all or substantially all of the assets of the Company in one or more related transactions, a liquidation pursuant to a filing of a petition for bankruptcy under applicable Law or any other insolvency or debtor’s relief Laws, an assignment for the benefit of creditors, a determination by a Governmental Authority that the Company (which includes its Subsidiaries) cannot carry on its business substantially consistent with the prior ordinary course of its business, or a voluntary or involuntary liquidation, dissolution or winding up of the affairs of the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All payments made under this Note shall be made as provided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under this Note shall mean the following (unless the Event of Default is waived in writing by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default in the payment of the Principal, Interest or other sums due under this Note or any Additional Note(s) when due (whether on the Maturity Date or by acceleration or otherwise) or as the result of a non-monetary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permitted in this Note, the Maker shall fail to observe or perform any other covenant, condition or agreement contained in this Note or any Transaction Document, including, for the avoidance of doubt, (i) the issuance of any Indebtedness or the imposition of a Lien upon any of the assets of the Maker or any Subsidiary, except for Permitted Indebtedness or Permitted Liens, respectively, or (ii) any other breach of its covenants and obligations under the Purchase Agreement and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Maker, Baird Med LLC or any other Pledge Entity (as defined in and described under the Pledge Agreement) shall (A) default in any payment of any amount or amounts of principal of or interest (if any) on $250,000 or more of any Indebtedness other than the Note or (B)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of such Indebtedness to cause, with the giving of notice if required, such Indebtedness to become due prior to its stated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Maker’s notice to the Holder, including by way of public announcement at any time of its inability to comply (including for any of the reasons described in Section 3.2(c) hereof) or its intention not to comply with proper requests for conversion of this Note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occurrence of any event, condition, action or failure to act which causes or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any time after the Original Issuance Date, the Registration Statement covering all Underlying Shares ceases to be effective, or if the Holder has sold shares of Common Stock pursuant to the Registration Statement or Rule 144, when available, the failure of the Maker to instruct its Transfer Agent (as hereinafter defined) to remove any legends from any Underlying Shares issued or issuable to the Holder and issue unlegended certificates for such shares to the Holder within the Standard Settlement Period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Trading Market with respect to the Common Stock as in effect on the date of delivery of a Conversion Notice. For avoidance of doubt, as of the Original Issuance Date the Standard Settlement Period is one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Maker shall fail to timely deliver the Common Stock as and when required under this Note or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at any time the Maker shall fail to have the Required Minimum of Common Stock authorized, reserved and available for issuance to satisfy the potential conversion in full (disregarding for this purpose any and all limitations of any kind including beneficial ownership limitations on such conversion) of this Note or any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representation or warranty made by the Maker or any of its Subsidiaries in the Purchase Agreement, this Note or any other Transaction Document shall prove to have been false or misleading or breached in a material respect on the date as of which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Maker or any of its Subsidiaries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United States Bankruptcy Code (as now or hereafter in effect) or under the comparable Laws of any jurisdiction (foreign or domestic); (iv) file a petition seeking to take advantage of any bankruptcy, insolvency, moratorium, reorganization or other similar Law affecting the enforcement of creditors’ rights generally; (v) acquiesce in writing to any petition filed against it in an involuntary case under United States Bankruptcy Code (as now or hereafter in effect) or under the comparable Laws of any jurisdiction (foreign or domestic); (vi) issue a notice of bankruptcy or winding down of its operations or issue a press release regarding same; or (vii) take any action under the Laws of any jurisdiction (foreign or domestic) analogous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 Action shall be commenced in respect of the Maker or any of its Subsidiaries, without its application or consent, in any court of competent jurisdiction, seeking: (i) the liquidation, reorganization, moratorium, dissolution, winding up, or composition or readjustment of its debts; (ii) the appointment of a trustee, receiver, custodian, liquidator or the like of it or of all or any substantial part of its assets in connection with the liquidation or dissolution of the Maker or any of its Subsidiaries; or (iii) similar relief in respect of it under any Law providing for the relief of debtors, and such proceeding or case described in clause (i), (ii) or (iii) shall continue undismissed, or unstayed and in effect, for a period of 30 days or any order for relief shall be entered in an involuntary case under United States Bankruptcy Code (as now or hereafter in effect) or under the comparable Laws of any jurisdiction (foreign or domestic) against the Maker or any of its Subsidiaries or action under the Laws of any jurisdiction (foreign or domestic) analogous to any of the foregoing shall be taken with respect to the Maker or any of its Subsidiaries and shall continue undismissed, or unstayed and in effect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one or more final judgments or orders for the payment of money aggregating in excess of $250,000 (which value shall be calculated on a daily basis using the local currencies value as reported by the United States Secretary of the Treasury) including any equivalent concepts under any foreign Laws are rendered against one or more of the Company and/or any of its Subsidiaries, that is not dismissed or stayed within a number of days that under the applicable Laws of the country in which the judgment or order was issued prohibits execution of the judgment or seizing of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fails to comply with the reporting requirements of the Exchange Act (including but not limited to becoming delinquent in the filing of any report required to be filed under the Exchange Act giving effect to any extension permitted by Rule 12b-25 under the Exchange Act) or ceases to be subject to the reporting requirements of the Exchange Act. For avoidance of doubt, a failure to timely file any Exchange Act report shall be deemed to be an Event of Default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files a Form 6-K or other SEC Report with the SEC disclosing that it intends to restate any financial statements it previously filed with the SEC or it restates any financial statements it previously filed with the SEC (a “</w:t>
      </w:r>
      <w:r>
        <w:rPr>
          <w:rFonts w:ascii="Times New Roman;Times;Serif" w:hAnsi="Times New Roman;Times;Serif"/>
          <w:b w:val="false"/>
          <w:i w:val="false"/>
          <w:caps w:val="false"/>
          <w:smallCaps w:val="false"/>
          <w:sz w:val="20"/>
          <w:u w:val="single"/>
        </w:rPr>
        <w:t>Restatement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Maker’s Common Stock ceases to be listed on the Principal Market, a delisting of the Common Stock by the Principal Market is otherwise threatened or reasonably likely to occur as evidenced by a writing issued by the Principal Market, or the Maker fails to list the Underlying Shares on the Principal Market (a “</w:t>
      </w:r>
      <w:r>
        <w:rPr>
          <w:rFonts w:ascii="Times New Roman;Times;Serif" w:hAnsi="Times New Roman;Times;Serif"/>
          <w:b w:val="false"/>
          <w:i w:val="false"/>
          <w:caps w:val="false"/>
          <w:smallCaps w:val="false"/>
          <w:sz w:val="20"/>
          <w:u w:val="single"/>
        </w:rPr>
        <w:t>Delisting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after the six-month anniversary of the Original Issuance Date, any Common Stock including Underlying Shares may not be immediately resold under Rule 144 without restriction on the number of shares to be sold or manner of sale, unless (i) the Holder is then deemed to be an “affiliate” as such term is defined under the Securities Act; (ii) such restriction or prohibition is as a result of any actions or inactions on the part of the Holder and not in any way on the part of the Company, (iii) the Company has for a one-year period following each payment of the Subscription Amount complied with the public information requirements of Rule 144(c), or (iv) the issuance and sale of such Common Stock is registered under the Securities Act such that the Common Stock may be sold by the Holder without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Maker consummates a “going private” transaction and as a result its Common Stock is no longer registered under Section 12(b)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of the following occur: (1) any SEC stop order with respect to any Registration Statement, (2) a trading suspension by the SEC or a suspension by the Principal Market of the Common Stock, or (3) any restriction in place with the Transfer Agent for the Common Stock restricting the trading of such Common Stock, or (4) the Transfer Agent for any reason (including due to the Company’s failure to pay any fees to the Transfer Agent) declines to transfer shares of Common Stock as requested by the Holder within the Standard Settlement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electronic transfer by the Company of shares of Common Stock through the Depository Trust Company or another established clearing corporation is no longer available or is subject to a “chill”;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Company replaces its Transfer Agent, and the Company fails to instruct the new Transfer Agent to provide prior to the effective date of such replacement, a fully executed irrevocable transfer agent instructions (including but not limited to the provision to irrevocably reserve the Required Minimum) signed by the successor Transfer Agent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Company or a Subsidiary enters into a Variable Rate Transaction at any time that this Note is outstanding (except for an equity line of credit or at-the-market offering with respect to which within two Business Days of receipt of any proceeds the Company uses 50% of such proceeds to repay this Note with any such proceeds being first applied to Interest), including without limitation any issuance of warrants or other securities which contain an alternative cashless exercise feature which is more dilutive than a customary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provision of any Transaction Document (as defined in the Purchase Agreement) shall at any time for any reason (other than pursuant to the express terms thereof) cease to be valid and binding on or enforceable against the Company or any of its Subsidiaries, or the validity or enforceability thereof shall be contested by any party thereto and it is finally determined by a court of competent jurisdiction that any such Transaction Document is not valid or enforceable against the Company or any of its Subsidiaries, or an Action shall be commenced by the Company or any Subsidiary or any Governmental Authority having jurisdiction over any of them, seeking to establish the invalidity or unenforceability thereof against the Company or any of its Subsidiaries, or the Company or any Subsidiary shall deny in writing that it has any liability or obligation purported to be created under any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any Security Document shall for any reason fail or cease to create a separate valid and perfected and, except to the extent permitted by the terms hereof or thereof, first priority Lien (as defined in the Purchase Agreement) on the Collateral (as defined in the Security Agreement) in favor of the Holder or any material provision of any Security Document shall at any time for any reason cease to be valid and binding on or enforceable against the Company or the validity or enforceability thereof shall be contested by any party thereto and it is finally determined by a court of competent jurisdiction that any such Security Document is not valid or enforceable against the Company, or a proceeding shall be commenced by the Company or any Governmental Authority having jurisdiction over the Company, seeking to establish the invalidity or unenforceability thereof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material damage to, or loss, theft or destruction of, any Collateral, unless insured, while the security interest(s) provided under the Security Documents remain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any strike, lockout, labor dispute, embargo, condemnation, act of god or public enemy, or other casualty which causes, for more than 15 consecutive Business Days, the cessation or substantial curtailment of the Company’s current operations or revenue producing activities at any facility of the Company or any Subsidiary, if any such event or circumstance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 Company organizes or acquires a new Subsidiary and the Company fails to do the following within 10 Trading Days of such organization or acquisition: (i) to cause the new Subsidiary to become a party to, and to guarantee the Note pursuant to, a Guarantee Agreement in the form reasonably acceptable to the Holder, and (ii) (A) if such Subsidiary is located in or otherwise subject to the jurisdiction of a state or territory of the United States, or (B) the Company directly or indirectly brings assets into or acquires assets located within the United States, then the Company shall pledge the equity interests of such Subsidiary or such assets under, and cause such Subsidiary to become a party to, and the Company shall be a party to, a Security Agreement and a Pledge Agreement in the forms reasonably acceptable to the Holder (including the delivery of the pledged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the Company or any Subsidiary sells, assigns or transfers any assets or equity interests which are located within or subject to the jurisdiction of the United States or any Governmental Authority located therein to a location or jurisdiction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Company loses any material license issued by the PRC, Hong Kong or the United States, or any Governmental Authority of or located within any of the foregoing, or any other jurisdiction in which the Company conducts its business;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the Company issues or incurs Indebtedness or grants a security interest (or similar concept under the Laws of any country) to a Person which gives such Person priority over the Company in the event of an Event of Default.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837"/>
        <w:gridCol w:w="9269"/>
      </w:tblGrid>
      <w:tr>
        <w:trPr/>
        <w:tc>
          <w:tcPr>
            <w:tcW w:w="9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pPr>
            <w:r>
              <w:rPr/>
              <w:t>2.2</w:t>
            </w:r>
          </w:p>
        </w:tc>
        <w:tc>
          <w:tcPr>
            <w:tcW w:w="9269" w:type="dxa"/>
            <w:tcBorders/>
            <w:vAlign w:val="center"/>
          </w:tcPr>
          <w:p>
            <w:pPr>
              <w:pStyle w:val="TableContents"/>
              <w:bidi w:val="0"/>
              <w:spacing w:before="0" w:after="283"/>
              <w:jc w:val="both"/>
              <w:rPr/>
            </w:pPr>
            <w:r>
              <w:rPr>
                <w:u w:val="single"/>
              </w:rPr>
              <w:t>Remedies Upon an Event of Default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occurrence of any Event of Default that has not been remedied or waived within five Trading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there shall be no cure period for an Event of Default described in Section 2.1(g), 2.1(j) or 2.1(k), the Maker shall be obligated to pay to the Holder the Mandatory Default Amount, which Mandatory Default Amount shall be immediately due and payable to the Holder. In the event this Note shall be converted whenever an Event of Default has occurred and is continuing without cure, the Holder shall have the option to convert the Mandatory Default Amount at the Conversion Price then in effect. In lieu of receiving Conversion Shares, the Holder may use Pre-Delivery Shares as provided in Section 4.4, subject to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any Event of Default, the Maker shall, as promptly as possible but in any event within five Trading Days after the occurrence of such Event of Default, notify the Holder of the occurrence of such Event of Default, describing the event or factual situation giving rise to the Event of Default and specifying the relevant subsection or subsections of Section 2.1 hereof under which such Event of Default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Section 2.2(a), upon the occurrence of any Event of Default, the Holder may at any time at its option declare, by written notice to the Maker, the Mandatory Default Amount due and payable, and thereupon, the same shall be accelerated and so due and payable within two Trading Days of receipt of such notice. Upon the failure of the Maker to cure an Event of Default within the time permitted by this Note, or if the Event of Default is not capable of being cured, the remedies provided in this Note shall continue and not be affected by any 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provisions of Section 3.2(b) shall also apply upon any Events of Default relating to Conversion Shares in addition to the remedies under this Section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Event of Default hereunder may be waived upon the mutual written agreement of the Company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2109"/>
        <w:gridCol w:w="7846"/>
      </w:tblGrid>
      <w:tr>
        <w:trPr/>
        <w:tc>
          <w:tcPr>
            <w:tcW w:w="25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pPr>
            <w:r>
              <w:rPr/>
              <w:t>3.1</w:t>
            </w:r>
          </w:p>
        </w:tc>
        <w:tc>
          <w:tcPr>
            <w:tcW w:w="7846" w:type="dxa"/>
            <w:tcBorders/>
            <w:vAlign w:val="center"/>
          </w:tcPr>
          <w:p>
            <w:pPr>
              <w:pStyle w:val="TableContents"/>
              <w:bidi w:val="0"/>
              <w:spacing w:before="0" w:after="283"/>
              <w:jc w:val="both"/>
              <w:rPr/>
            </w:pPr>
            <w:r>
              <w:rPr>
                <w:u w:val="single"/>
              </w:rPr>
              <w:t>Conversion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At any time after the Original Issuance Date, this Note shall be convertible (in whole or in part) at the option of the Holder into such number of fully paid and non-assessable shares of Common Stock as is determined by dividing (x) that portion of the outstanding Principal and any accrued and unpaid Interest thereon that the Holder elects to convert (the “</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xml:space="preserve">”) by (y) the Applicable Conversion Price then in effect on the date on which the Holder delivers to the Maker a notice of conversion in substantially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Conversion Notice</w:t>
      </w:r>
      <w:r>
        <w:rPr>
          <w:rFonts w:ascii="Times New Roman;Times;Serif" w:hAnsi="Times New Roman;Times;Serif"/>
          <w:b w:val="false"/>
          <w:i w:val="false"/>
          <w:caps w:val="false"/>
          <w:smallCaps w:val="false"/>
          <w:sz w:val="20"/>
        </w:rPr>
        <w:t>”). The Holder shall deliver the original of this Note to the Maker at the address designated in the Purchase Agreement at such time that this Note is paid or fully converted. With respect to partial conversions of this Note, the Maker shall keep written records of the amount of this Note converted as of the date of delivery of the Conversion Notice for, and giving effect to, each such conversion (each, a “</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means the lower of (A) </w:t>
      </w:r>
      <w:r>
        <w:rPr>
          <w:rFonts w:ascii="Times New Roman;Times;Serif" w:hAnsi="Times New Roman;Times;Serif"/>
          <w:b/>
          <w:i w:val="false"/>
          <w:caps w:val="false"/>
          <w:smallCaps w:val="false"/>
          <w:sz w:val="20"/>
        </w:rPr>
        <w:t>$[__]</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Fixed Conversion Price</w:t>
      </w:r>
      <w:r>
        <w:rPr>
          <w:rFonts w:ascii="Times New Roman;Times;Serif" w:hAnsi="Times New Roman;Times;Serif"/>
          <w:b w:val="false"/>
          <w:i w:val="false"/>
          <w:caps w:val="false"/>
          <w:smallCaps w:val="false"/>
          <w:sz w:val="20"/>
        </w:rPr>
        <w:t xml:space="preserve">”) as such Fixed Conversion Price may be adjusted as provided herein, and (B) subject to Section 3.1(d), the Alternative Conversion Price,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any Conversion Price under the foregoing definition results in a fractional amount, the fractional amount shall be rounded down to the nearest whole cent. For avoidance of doubt, all references in this Note to the Fixed Conversion Price or any other Conversion Price including the Alternative Conversion Price shall be construed to include adjustments as provided in this Note. The Conversion Price shall in all circumstances be at or above the par value of the shares of Common Stock to be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Effective upon any subsequent closing under any Purchase Agreement, the Fixed Conversion Price shall be reduced, but not increased, to equal to 120% of the average three-day VWAP calculated prior to such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Fixed Conversion Price will equal 120% of the average of the three daily VWAPs immediately prior to the applicable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Voluntary Adjustment of Fixed Conversion Price</w:t>
      </w:r>
      <w:r>
        <w:rPr>
          <w:rFonts w:ascii="Times New Roman;Times;Serif" w:hAnsi="Times New Roman;Times;Serif"/>
          <w:b w:val="false"/>
          <w:i w:val="false"/>
          <w:caps w:val="false"/>
          <w:smallCaps w:val="false"/>
          <w:sz w:val="20"/>
        </w:rPr>
        <w:t>. Subject to the rules and regulations of the Trading Market, the Companies Act (As Revised) of the Cayman Islands and all applicable laws, the Company may at any time during the term of this Note, with the prior written consent of the Holder, reduce the then current Conversion Price of the Note to any amount and for any period of time deemed appropriate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any conversion pursuant to this Note, the Holder shall be deemed to own the Conversion Shares resulting therefrom for purposes of the Securities Act upon the Holder delivering to the Company the Conversion Notice.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967"/>
        <w:gridCol w:w="9124"/>
      </w:tblGrid>
      <w:tr>
        <w:trPr/>
        <w:tc>
          <w:tcPr>
            <w:tcW w:w="11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pPr>
            <w:r>
              <w:rPr/>
              <w:t>3.2</w:t>
            </w:r>
          </w:p>
        </w:tc>
        <w:tc>
          <w:tcPr>
            <w:tcW w:w="9124" w:type="dxa"/>
            <w:tcBorders/>
            <w:vAlign w:val="center"/>
          </w:tcPr>
          <w:p>
            <w:pPr>
              <w:pStyle w:val="TableContents"/>
              <w:bidi w:val="0"/>
              <w:spacing w:before="0" w:after="283"/>
              <w:jc w:val="both"/>
              <w:rPr/>
            </w:pPr>
            <w:r>
              <w:rPr>
                <w:u w:val="single"/>
              </w:rPr>
              <w:t>Delivery of Conversion Shares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after any conversion or payment of any amount due hereunder in accordance with this Note, and in any event within the Standard Settlement Period thereafter (such date, the “</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the Maker shall, at its expense, cause to be issued in the name of and delivered to the Holder, or as the Holder may direct, a certificate or certificates evidencing the number of shares of fully paid and non-assessable Common Stock to which the Holder shall be entitled on such conversion or payment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xml:space="preserve">”), in the applicable denominations based on the applicable conversion or payment, which certificate or certificates shall be free of any restrictive or trading legend. In lieu of delivering physical certificates for the Common Stock issuable upon any conversion of this Note,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Company’s transfer agent (the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DTC Fast Automated Securities Transfer Program (“</w:t>
      </w:r>
      <w:r>
        <w:rPr>
          <w:rFonts w:ascii="Times New Roman;Times;Serif" w:hAnsi="Times New Roman;Times;Serif"/>
          <w:b w:val="false"/>
          <w:i w:val="false"/>
          <w:caps w:val="false"/>
          <w:smallCaps w:val="false"/>
          <w:sz w:val="20"/>
          <w:u w:val="single"/>
        </w:rPr>
        <w:t>FAST</w:t>
      </w:r>
      <w:r>
        <w:rPr>
          <w:rFonts w:ascii="Times New Roman;Times;Serif" w:hAnsi="Times New Roman;Times;Serif"/>
          <w:b w:val="false"/>
          <w:i w:val="false"/>
          <w:caps w:val="false"/>
          <w:smallCaps w:val="false"/>
          <w:sz w:val="20"/>
        </w:rPr>
        <w:t>”) or a similar program, upon request of the Holder, the Company shall cause the Transfer Agent to electronically transmit such Conversion Shares issuable upon conversion of this Note to the Holder (or its designee), by crediting the account of the Holder’s (or such designee’s) broker with DTC through its Deposit Withdrawal At Custodian system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same time periods herein as for stock certificates shall apply) as instructed by the Holder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Obligation Absolute</w:t>
      </w:r>
      <w:r>
        <w:rPr>
          <w:rFonts w:ascii="Times New Roman;Times;Serif" w:hAnsi="Times New Roman;Times;Serif"/>
          <w:b w:val="false"/>
          <w:i w:val="false"/>
          <w:caps w:val="false"/>
          <w:smallCaps w:val="false"/>
          <w:sz w:val="20"/>
        </w:rPr>
        <w:t xml:space="preserve">. The Company’s obligations to issue and deliver the Conversion Shares upon conversion of this Note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which might otherwise limit such obligation of the Company to the Holder in connection with the issuance of such Conversion Shares; provided that nothing in this Section 3.2(b) shall require the Company to issue shares of Common Stock in contravention of the Companies Act (As Revised) of the Cayman Islands or at a price below the par value of such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delivery shall not operate as a waiver by the Company of any such action the Company may have against the Holder. In the event the Holder of this Note shall elect to convert any or all of the outstanding Principal and any accrued and unpaid Interest thereon (if any) hereof, the Company may not refuse conversion based on any claim that the Holder or anyone associated or affiliated with the Holder has been engaged in any violation of Law, agreement or for any other reason, unless an injunction from a court, on notice to Holder, restraining and or enjoining conversion of all or part of this Note shall have been sought and obtained, and the Company posts a surety bond for the benefit of the Holder in the amount of 150% of the outstanding Principal and any accrued and unpaid Interest thereon (if any) of this Note, which is subject to the injunction, which bond shall remain in effect until the completion of litigation of the underlying dispute and the proceeds of which shall be payable to the Holder to the extent it obtains judgment. In the absence of such injunction, the Company shall issue the Conversion Shares or, if applicable, cash, upon delivery of a 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The Company’s Failure to Timely Convert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Company shall fail for any reason or for no reason, on or prior to the applicable Share Delivery Date, if the Transfer Agent is not participating in FAST, to issue and deliver to the Holder (or its designee) a certificate for the number of Conversion Shares to which the Holder is entitled and register such Conversion Shares on the Company’s register of members or, if the Transfer Agent is participating in FAST, to credit the balance account of the Holder or the Holder’s designee with DTC for such number of Conversion Shares to which the Holder is entitled upon the Holder’s conversion of this Note (as the case may be) (a “</w:t>
      </w:r>
      <w:r>
        <w:rPr>
          <w:rFonts w:ascii="Times New Roman;Times;Serif" w:hAnsi="Times New Roman;Times;Serif"/>
          <w:b w:val="false"/>
          <w:i w:val="false"/>
          <w:caps w:val="false"/>
          <w:smallCaps w:val="false"/>
          <w:sz w:val="20"/>
          <w:u w:val="single"/>
        </w:rPr>
        <w:t>Conversion Failure</w:t>
      </w:r>
      <w:r>
        <w:rPr>
          <w:rFonts w:ascii="Times New Roman;Times;Serif" w:hAnsi="Times New Roman;Times;Serif"/>
          <w:b w:val="false"/>
          <w:i w:val="false"/>
          <w:caps w:val="false"/>
          <w:smallCaps w:val="false"/>
          <w:sz w:val="20"/>
        </w:rPr>
        <w:t>”), then, in addition to all other remedies available to the Holder, the Holder may by notice to the Company (in lieu of receiving such Conversion Shares subject to such Conversion Failure), require the Company to prepay, in cash, the Conversion Amount in such Conversion Failure at a prepayment price equal to the higher of (i) Mandatory Default Amount with respect to such Conversion Amount arising from such Conversion Failure and (ii) the number of shares of Common Stock that the Maker is unable to issue multiplied by the higher of (A) the Fixed Conversion Price and (B) the VWAP as of the date of the Conversion Notice (the “</w:t>
      </w:r>
      <w:r>
        <w:rPr>
          <w:rFonts w:ascii="Times New Roman;Times;Serif" w:hAnsi="Times New Roman;Times;Serif"/>
          <w:b w:val="false"/>
          <w:i w:val="false"/>
          <w:caps w:val="false"/>
          <w:smallCaps w:val="false"/>
          <w:sz w:val="20"/>
          <w:u w:val="single"/>
        </w:rPr>
        <w:t>Mandatory Prepayment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to the foregoing, if on or prior to the Share Delivery Date, if the Transfer Agent is not participating in FAST, the Company shall fail to issue and deliver to the Holder (or its designee) a certificate and register such shares of Common Stock on the Company’s register of members or, if the Transfer Agent is participating in FAST,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and if on or after such Share Delivery Date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failure, as applicable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in addition to all other remedies available to the Holder, the Company shall, within two Trading Days after receipt of the Holder’s request and in the Holder’s discretion, either: (I) pay cash to the Holder in an amount equal to the Holder’s total purchase price (including brokerage commissions and/or markups, stock loan costs and other out-of-pocket expenses, if any) for the shares of Common Stock so acquired (including, without limitation, by any other Person on behalf, of the Holder) (the “</w:t>
      </w:r>
      <w:r>
        <w:rPr>
          <w:rFonts w:ascii="Times New Roman;Times;Serif" w:hAnsi="Times New Roman;Times;Serif"/>
          <w:b w:val="false"/>
          <w:i w:val="false"/>
          <w:caps w:val="false"/>
          <w:smallCaps w:val="false"/>
          <w:sz w:val="20"/>
          <w:u w:val="single"/>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(the “</w:t>
      </w:r>
      <w:r>
        <w:rPr>
          <w:rFonts w:ascii="Times New Roman;Times;Serif" w:hAnsi="Times New Roman;Times;Serif"/>
          <w:b w:val="false"/>
          <w:i w:val="false"/>
          <w:caps w:val="false"/>
          <w:smallCaps w:val="false"/>
          <w:sz w:val="20"/>
          <w:u w:val="single"/>
        </w:rPr>
        <w:t>Buy-In Payment Amount</w:t>
      </w:r>
      <w:r>
        <w:rPr>
          <w:rFonts w:ascii="Times New Roman;Times;Serif" w:hAnsi="Times New Roman;Times;Serif"/>
          <w:b w:val="false"/>
          <w:i w:val="false"/>
          <w:caps w:val="false"/>
          <w:smallCaps w:val="false"/>
          <w:sz w:val="20"/>
        </w:rPr>
        <w:t>”). For the avoidance of doubt, subject to Section 3.2(c)(i), the Holder’s right to the Buy-In Payment Amount shall apply regardless of whether the applicable failure constitutes a Conversion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of a Conversion Failure, the Maker shall pay to the Holder, in cash, (i) as partial liquidated damages and not as a penalty, for each $1,000 of the Conversion Amount, $10 per Trading Day (increasing to $20 per Trading Day five Trading Days after such damages have begun to accrue) for each Trading Day after the Share Delivery Date until the number of shares of Common Stock the Holder shall be entitled on such conversion has been delivered to the Holder.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Conversion Priority</w:t>
      </w:r>
      <w:r>
        <w:rPr>
          <w:rFonts w:ascii="Times New Roman;Times;Serif" w:hAnsi="Times New Roman;Times;Serif"/>
          <w:b w:val="false"/>
          <w:i w:val="false"/>
          <w:caps w:val="false"/>
          <w:smallCaps w:val="false"/>
          <w:sz w:val="20"/>
        </w:rPr>
        <w:t>. In the event that the Company receives a Conversion Notice from the Holder and any holders of Options or other Convertible Securities for the same Conversion Date and the Company can effect the conversion and exercise of some, but not all, of such portions of the Note, Options or other Convertible Securities submitted for conversion and exercise, the Company, subject to this Section 3.2(d), shall (i) first effect the conversion of the entire Conversion Amount submitted for conversion on such date by the Holder, and (ii) once the Holder’s Conversion Notice has been fully satisfied shall thereafter effect the exercise and conversion from each holder of Options or other Convertible Securities electing to have Options or other Convertible Securities exercised or converted on such date (other than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9.99%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3.2(e). For purposes of this Section 3.2(e) and Rule 13d-3 thereunder, beneficial ownership shall be calculated in accordance with Section 13(d) of the Exchange Act. For purposes of determining the number of outstanding shares of Common Stock the Holder may acquire upon the conversion of this Note without exceeding the Beneficial Ownership Limitation, the Holder may rely on the number of outstanding shares of Common Stock as reflected in (x) the Company’s most recent annual or periodic report on Form 20-F, Current Report on Form 6-K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val="false"/>
          <w:i w:val="false"/>
          <w:caps w:val="false"/>
          <w:smallCaps w:val="false"/>
          <w:sz w:val="20"/>
          <w:u w:val="single"/>
        </w:rPr>
        <w:t>Reported Outstanding Share Number</w:t>
      </w:r>
      <w:r>
        <w:rPr>
          <w:rFonts w:ascii="Times New Roman;Times;Serif" w:hAnsi="Times New Roman;Times;Serif"/>
          <w:b w:val="false"/>
          <w:i w:val="false"/>
          <w:caps w:val="false"/>
          <w:smallCaps w:val="false"/>
          <w:sz w:val="20"/>
        </w:rPr>
        <w:t>”). If the Company receives a Conversion Notice from the Holder at a time when the actual number of outstanding 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3.2(e), to exceed the Beneficial Ownership Limitation, such Conversion Notice shall be null and void and the Holder shall provide the Company with a new Conversation Notice reflecting a reduced number of shares of Common Stock to be issued pursuant to such Conversion Notice. For any reason at any time, upon the written or oral request of the Holder, the Company shall within one Trading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Beneficial Ownership Limitation of the number of outstanding shares of Common Stock (as determined under Section 13(d) of the Exchange Act and Rule 13d-3 thereunder), the number of shares so issued by which the Holder’s and the other Attribution Parties’ aggregate beneficial ownership exceeds the Beneficial Ownership Limitation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shall be deemed null and void ab intitio, the Holder shall not have the power to vote or sell the Conversion Shares and they shall be cancelled in accordance with the Companies Act (As Revised) of the Cayman Islands and all applicable laws. Furthermore, the Company shall indemnify the Holder in accordance with the Purchase Agreement, if the Holder suffers any damages including attorneys fees, claims or losses as a result of Excess Shares being issued. Upon delivery of a written notice to the Company, the Holder may from time to time increase (with such increase not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delivery of such notice) or decrease the Beneficial Ownership Limitation to any other percentage not in excess of 9.99% as specified in such notice;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 any such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(ii) any such increase or decrease will apply only to the Holder and the other Attribution Parties; and (iii) any increase will only apply if the Beneficial Ownership Limitation subject to such an increase is less than 9.99%. For purposes of clarity, the shares of Common Stock issuable pursuant to the terms of this Note in excess of the Beneficial Ownership Limitation shall not be deemed to be beneficially owned by the Holder for any purpose including for purposes of Section 13(d) or Rules 13d-3 and 16a-1(a)(1) of the Exchange Act. No prior inability to convert this Note pursuant to this Section 3.2(e) shall have any effect on the applicability of the provisions of this Section 3.2(e) with respect to any subsequent determination of convertibility. The provisions of this Section 3.2(e) shall be construed and implemented in a manner otherwise than in strict conformity with the terms of this Section 3. 2(e) to the extent necessary to correct any provision which may be defective or inconsistent with the intended beneficial ownership limitation contained in this Section 3.2(e) or to make changes or supplements necessary or desirable to properly give effect to such limitation. This Section 3.2(e) may not be waived or amended, and shall apply to a successor holder of this Note. In connection with each conversion of the Note, the Holder shall represent that it is not exceeding the Beneficial Ownership Limitation as a result of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shares of Common Stock are not delivered within the Standard Settlement Period in accordance with this Note as a result of any action or inaction by the Company’s Transfer Agent, then the Holder shall have the right, by giving 30 days’ advance written notice, to request that the Company terminate the Transfer Agent and hire a replacement Transfer Agent, and the Company shall use its best efforts to effect such replacement as soon as possible and in any event by the end of such 30-day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797"/>
        <w:gridCol w:w="9314"/>
      </w:tblGrid>
      <w:tr>
        <w:trPr/>
        <w:tc>
          <w:tcPr>
            <w:tcW w:w="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pPr>
            <w:r>
              <w:rPr/>
              <w:t>3.3</w:t>
            </w:r>
          </w:p>
        </w:tc>
        <w:tc>
          <w:tcPr>
            <w:tcW w:w="9314" w:type="dxa"/>
            <w:tcBorders/>
            <w:vAlign w:val="center"/>
          </w:tcPr>
          <w:p>
            <w:pPr>
              <w:pStyle w:val="TableContents"/>
              <w:bidi w:val="0"/>
              <w:spacing w:before="0" w:after="283"/>
              <w:jc w:val="both"/>
              <w:rPr/>
            </w:pPr>
            <w:r>
              <w:rPr>
                <w:u w:val="single"/>
              </w:rPr>
              <w:t>Adjustment of Fixed Conversion Price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this Note has been paid in full or converted in full, the Fixed Conversion Price shall be subject to adjustment from time-to-time (but shall not be increased, other than pursuant to a combination)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Adjustments for Stock Splits and Combinations</w:t>
      </w:r>
      <w:r>
        <w:rPr>
          <w:rFonts w:ascii="Times New Roman;Times;Serif" w:hAnsi="Times New Roman;Times;Serif"/>
          <w:b w:val="false"/>
          <w:i w:val="false"/>
          <w:caps w:val="false"/>
          <w:smallCaps w:val="false"/>
          <w:sz w:val="20"/>
        </w:rPr>
        <w:t>. If the Maker shall at any time or from time-to-time after the Original Issuance Date effect a forward stock split of the outstanding Common Stock or pays a dividend or distribution in Common Stock to holders of its Common Stock, the applicable Fixed Conversion Price in effect immediately prior to such event shall be proportionately decreased. If the Maker shall at any time or from time-to-time after the Original Issuance Date, effect a combination or reverse stock split of the outstanding Common Stock, the applicable Fixed Conversion Price in effect immediately prior to such event shall be proportionately increased. Any adjustments under this Section 3.3(a)(i) shall be effective at the close of business on the date the applicable event occurs, which will be the date on which the applicable event is reflected on the books and records of each of the Transfer Agent and in the trading of the Common Stock on the Principal Market (the “</w:t>
      </w:r>
      <w:r>
        <w:rPr>
          <w:rFonts w:ascii="Times New Roman;Times;Serif" w:hAnsi="Times New Roman;Times;Serif"/>
          <w:b w:val="false"/>
          <w:i w:val="false"/>
          <w:caps w:val="false"/>
          <w:smallCaps w:val="false"/>
          <w:sz w:val="20"/>
          <w:u w:val="single"/>
        </w:rPr>
        <w:t>Event Date</w:t>
      </w:r>
      <w:r>
        <w:rPr>
          <w:rFonts w:ascii="Times New Roman;Times;Serif" w:hAnsi="Times New Roman;Times;Serif"/>
          <w:b w:val="false"/>
          <w:i w:val="false"/>
          <w:caps w:val="false"/>
          <w:smallCaps w:val="false"/>
          <w:sz w:val="20"/>
        </w:rPr>
        <w:t>”). All such determinations shall be appropriately adjusted for any stock dividend, stock split, stock combination, reverse stock split, recapitalization or other similar transaction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Adjustment for Other Dividends and Distributions</w:t>
      </w:r>
      <w:r>
        <w:rPr>
          <w:rFonts w:ascii="Times New Roman;Times;Serif" w:hAnsi="Times New Roman;Times;Serif"/>
          <w:b w:val="false"/>
          <w:i w:val="false"/>
          <w:caps w:val="false"/>
          <w:smallCaps w:val="false"/>
          <w:sz w:val="20"/>
        </w:rPr>
        <w:t xml:space="preserve">. If the Maker shall at any time or from time to time after the Closing Date (but whether before or after the Original Issuance Date) make or issue or set a record date for the determination of holders of Common Stock entitled to receive a dividend or other distribution payable in property other than Common Stock, then, and in each event, an appropriate revision to the applicable Fixed Conversion Price shall be made and provision shall be made (by adjustments of the Fixed Conversion Price or otherwise) so that the Holder of this Note shall receive upon conversions thereof, in addition to the number of shares of Common Stock receivable thereon, the number of securities of the Maker or other issuer (as applicable) or other property that it would have received had this Note been converted into Common Stock in full (without regard to any conversion limitations herein) on the date of such event and had thereafter, during the period from the date of such event to and including the Conversion Date, retained such securities (together with any distributions payable thereon during such period) or assets, giving application to all adjustments called for during such period under this Section 3.3(a)(ii) with respect to the rights of the holders of this Note;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record date shall have been fixed and such dividend is not fully paid or if such distribution is not fully made on the date fixed therefor, the Fixed Conversion Price shall be adjusted pursuant to this Section 3.3(a)(ii) as of the time of actual payment of such dividends or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Adjustments for Reclassification, Exchange or Substitution</w:t>
      </w:r>
      <w:r>
        <w:rPr>
          <w:rFonts w:ascii="Times New Roman;Times;Serif" w:hAnsi="Times New Roman;Times;Serif"/>
          <w:b w:val="false"/>
          <w:i w:val="false"/>
          <w:caps w:val="false"/>
          <w:smallCaps w:val="false"/>
          <w:sz w:val="20"/>
        </w:rPr>
        <w:t>. If the Common Stock at any time or from time-to-time after the Closing Date (but whether before or after the Original Issuance Date) shall be changed to the same or different number of shares or other securities of any class or classes of stock or other property, whether by reclassification, exchange, substitution or otherwise (other than by way of a stock split or combination of shares or stock dividends provided for in Section 3.3(a)(i) hereof), then, and in each event, an appropriate revision to the Fixed Conversion Price shall be made and provisions shall be made (by adjustments of the Fixed Conversion Price or otherwise) so that the Holder shall have the right thereafter to convert this Note into the kind and amount of shares of stock or other securities or other property receivable upon reclassification, exchange, substitution or other change, by holders of the number of shares of Common Stock into which such Note might have been converted immediately prior to such reclassification, exchange, substitution or other change, all subject to further adjustment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Rights Upon Issuance of Other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Adjustment of Fixed Conversion Price upon Issuance of Common Stock</w:t>
      </w:r>
      <w:r>
        <w:rPr>
          <w:rFonts w:ascii="Times New Roman;Times;Serif" w:hAnsi="Times New Roman;Times;Serif"/>
          <w:b w:val="false"/>
          <w:i w:val="false"/>
          <w:caps w:val="false"/>
          <w:smallCaps w:val="false"/>
          <w:sz w:val="20"/>
        </w:rPr>
        <w:t>. If and whenever on or after the Original Issuance Date the Company issues or sells, or in accordance with this Section 3.3(a)(iv) is deemed to have issued or sold, any shares of Common Stock (including the issuance or sale of shares of Common Stock owned or held by or for the account of the Company, but excluding any Exempt Issuance, for a consideration per share (the “</w:t>
      </w:r>
      <w:r>
        <w:rPr>
          <w:rFonts w:ascii="Times New Roman;Times;Serif" w:hAnsi="Times New Roman;Times;Serif"/>
          <w:b w:val="false"/>
          <w:i w:val="false"/>
          <w:caps w:val="false"/>
          <w:smallCaps w:val="false"/>
          <w:sz w:val="20"/>
          <w:u w:val="single"/>
        </w:rPr>
        <w:t>Dilutive Issuance Price</w:t>
      </w:r>
      <w:r>
        <w:rPr>
          <w:rFonts w:ascii="Times New Roman;Times;Serif" w:hAnsi="Times New Roman;Times;Serif"/>
          <w:b w:val="false"/>
          <w:i w:val="false"/>
          <w:caps w:val="false"/>
          <w:smallCaps w:val="false"/>
          <w:sz w:val="20"/>
        </w:rPr>
        <w:t>”) less than a price equal to the Fixed Conversion Price in effect immediately prior to such issuance or sale or deemed issuance or sale (such Fixed Conversion Price then in effect is referred to herein as the “</w:t>
      </w:r>
      <w:r>
        <w:rPr>
          <w:rFonts w:ascii="Times New Roman;Times;Serif" w:hAnsi="Times New Roman;Times;Serif"/>
          <w:b w:val="false"/>
          <w:i w:val="false"/>
          <w:caps w:val="false"/>
          <w:smallCaps w:val="false"/>
          <w:sz w:val="20"/>
          <w:u w:val="single"/>
        </w:rPr>
        <w:t>Applicable Price</w:t>
      </w:r>
      <w:r>
        <w:rPr>
          <w:rFonts w:ascii="Times New Roman;Times;Serif" w:hAnsi="Times New Roman;Times;Serif"/>
          <w:b w:val="false"/>
          <w:i w:val="false"/>
          <w:caps w:val="false"/>
          <w:smallCaps w:val="false"/>
          <w:sz w:val="20"/>
        </w:rPr>
        <w:t>”) (the foregoing a “</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then, immediately after such Dilutive Issuance, the Fixed Conversion Price then in effect shall be reduced to the Dilutive Issuance Price. For all purposes of the foregoing (including, without limitation, determining the adjusted Fixed Conversion Price and the Dilutive Issuance Price under this Section 3.3(a)(iv)), the following shall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the Company in any manner grants or sells any options or rights to acquire Common Stock or Convertible Securities (“</w:t>
      </w:r>
      <w:r>
        <w:rPr>
          <w:rFonts w:ascii="Times New Roman;Times;Serif" w:hAnsi="Times New Roman;Times;Serif"/>
          <w:b w:val="false"/>
          <w:i w:val="false"/>
          <w:caps w:val="false"/>
          <w:smallCaps w:val="false"/>
          <w:sz w:val="20"/>
          <w:u w:val="single"/>
        </w:rPr>
        <w:t>Options</w:t>
      </w:r>
      <w:r>
        <w:rPr>
          <w:rFonts w:ascii="Times New Roman;Times;Serif" w:hAnsi="Times New Roman;Times;Serif"/>
          <w:b w:val="false"/>
          <w:i w:val="false"/>
          <w:caps w:val="false"/>
          <w:smallCaps w:val="false"/>
          <w:sz w:val="20"/>
        </w:rPr>
        <w:t>”) (other than pursuant to any Exempt Issuance)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excluding any transactions involving an Exempt Issuance. For purposes of this Section 3.3(a)(iv)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or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(on a fully-diluted basis)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with respect to any one share of Common Stock (on a fully-diluted basis). Except as contemplated below, no further adjustment of the Fixed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3.3(a)(iv),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(on a fully-diluted basis) upon the issuance or sale of such Convertible Security plus the value of any other consideration received or receivable by, or benefit conferred on, the holder of such Convertible Security (or any other Person) with respect to any one share of Common Stock (on a fully-diluted basis). Except as contemplated below, no further adjustment of the Fixed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Fixed Conversion Price has been or is to be made pursuant to other provisions of this Section 3.3(a)(iv), except as contemplated below, no further adjustment of the Fixed Conversion Price shall be made by reason of such issuance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decreases at any time (other than proportional changes in connection with an event referred to Section 3.3(a)(i) above), the Fixed Conversion Price in effect at the time of such decrease shall be adjusted to the Fixed Conversion Price which would have been in effect at such time had such Options or Convertible Securities provided for such decreased purchase price, additional consideration or decreased conversion rate (as the case may be) at the time initially granted, issued or sold. For purposes of this Section 3.3(a)(iv), if the terms of any Option or Convertible Security that was outstanding as of the Original Issuance Date are decreased in the manner described in the immediately preceding sentence, then such Option or Convertible Security and the shares of Common Stock deemed issuable upon exercise, conversion or exchange thereof shall be deemed to have been issued as of the date of such decrease. No adjustment pursuant to this Section 3.3(a)(iv) shall be made if such adjustment would result in an increase of the Fixed Conversion Price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Issuances of Units</w:t>
      </w:r>
      <w:r>
        <w:rPr>
          <w:rFonts w:ascii="Times New Roman;Times;Serif" w:hAnsi="Times New Roman;Times;Serif"/>
          <w:b w:val="false"/>
          <w:i w:val="false"/>
          <w:caps w:val="false"/>
          <w:smallCaps w:val="false"/>
          <w:sz w:val="20"/>
        </w:rPr>
        <w:t>. If any Option and/or Convertible Security and/or is issued in connection with the issuance or sale or deemed issuance or sale of any other securities of the Company (as determined by the Holder, the “</w:t>
      </w:r>
      <w:r>
        <w:rPr>
          <w:rFonts w:ascii="Times New Roman;Times;Serif" w:hAnsi="Times New Roman;Times;Serif"/>
          <w:b w:val="false"/>
          <w:i w:val="false"/>
          <w:caps w:val="false"/>
          <w:smallCaps w:val="false"/>
          <w:sz w:val="20"/>
          <w:u w:val="single"/>
        </w:rPr>
        <w:t>Primary Security</w:t>
      </w:r>
      <w:r>
        <w:rPr>
          <w:rFonts w:ascii="Times New Roman;Times;Serif" w:hAnsi="Times New Roman;Times;Serif"/>
          <w:b w:val="false"/>
          <w:i w:val="false"/>
          <w:caps w:val="false"/>
          <w:smallCaps w:val="false"/>
          <w:sz w:val="20"/>
        </w:rPr>
        <w:t>”, and such Option and/or Convertible Security, the “</w:t>
      </w:r>
      <w:r>
        <w:rPr>
          <w:rFonts w:ascii="Times New Roman;Times;Serif" w:hAnsi="Times New Roman;Times;Serif"/>
          <w:b w:val="false"/>
          <w:i w:val="false"/>
          <w:caps w:val="false"/>
          <w:smallCaps w:val="false"/>
          <w:sz w:val="20"/>
          <w:u w:val="single"/>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val="false"/>
          <w:i w:val="false"/>
          <w:caps w:val="false"/>
          <w:smallCaps w:val="false"/>
          <w:sz w:val="20"/>
          <w:u w:val="single"/>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“lowest price per share for which one share of Common Stock is at any time issuable upon the conversion, exercise or exchange thereof or otherwise pursuant to the terms thereof” with respect to such Primary Security shall be deemed to be equal to the lower of (x) the purchase price per Unit, (y) the lowest price per share for which one share of Common Stock is at any time issuable upon the exercise or conversion of either of the Primary Security or the Secondary Security, and (z) the lowest VWAP of the Common Stock on any Trading Day during the five Trading Day period (the “</w:t>
      </w:r>
      <w:r>
        <w:rPr>
          <w:rFonts w:ascii="Times New Roman;Times;Serif" w:hAnsi="Times New Roman;Times;Serif"/>
          <w:b w:val="false"/>
          <w:i w:val="false"/>
          <w:caps w:val="false"/>
          <w:smallCaps w:val="false"/>
          <w:sz w:val="20"/>
          <w:u w:val="single"/>
        </w:rPr>
        <w:t>Adjustment Period</w:t>
      </w:r>
      <w:r>
        <w:rPr>
          <w:rFonts w:ascii="Times New Roman;Times;Serif" w:hAnsi="Times New Roman;Times;Serif"/>
          <w:b w:val="false"/>
          <w:i w:val="false"/>
          <w:caps w:val="false"/>
          <w:smallCaps w:val="false"/>
          <w:sz w:val="20"/>
        </w:rPr>
        <w:t>”) immediately following the public announcement of such issuance or sale (for the avoidance of doubt, if such public announcement is released prior to the opening of the principal Trading Market of the Common Stock on a Trading Day, such Trading Day shall be the first Trading Day in such five Trading Day period and if this Note is converted, on any given Conversion Date during any such Adjustment Period, solely with respect to such portion of this Note converted on such applicable Conversion Date, such applicable Adjustment Period shall be deemed to have ended on, and included, the Trading Day immediately prior to such Conversion Date). If any shares of Common Stock, Options (other than Exempt Issuances) or Convertible Securities are issued or sold or deemed to have been issued or sold for cash, the consideration received therefor (for the purpose of determining the consideration paid for such Common Stock, Option or Convertible Security) will be deemed to be the net amount of consideration received by the Company therefor. If any shares of Common Stock, Options (other than Exempt Issuances) or Convertible Securities are issued or sold for a consideration other than cash, the amount of such consideration received by the Company (for the purpose of determining the consideration paid for such Common Stock, Option or Convertible Security)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will be deemed to be the fair value of such portion of the net assets and business of the non- 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w:t>
      </w:r>
      <w:r>
        <w:rPr>
          <w:rFonts w:ascii="Times New Roman;Times;Serif" w:hAnsi="Times New Roman;Times;Serif"/>
          <w:b w:val="false"/>
          <w:i w:val="false"/>
          <w:caps w:val="false"/>
          <w:smallCaps w:val="false"/>
          <w:sz w:val="20"/>
          <w:u w:val="single"/>
        </w:rPr>
        <w:t>Valuation Event</w:t>
      </w:r>
      <w:r>
        <w:rPr>
          <w:rFonts w:ascii="Times New Roman;Times;Serif" w:hAnsi="Times New Roman;Times;Serif"/>
          <w:b w:val="false"/>
          <w:i w:val="false"/>
          <w:caps w:val="false"/>
          <w:smallCaps w:val="false"/>
          <w:sz w:val="20"/>
        </w:rPr>
        <w:t>”) in this Section 3.3(a)(iv), the fair value of such consideration will be determined within five Trading Days after the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 For the avoidance of doubt, in the event of a transaction provided in this Section 3.3(a)(iv), the calculation of the consideration per share for the Secondary Securities shall be as provided in Section 3.3(a)(iv)(2) and/or (3),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xml:space="preserve">.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Company shall at any time set a record date for the determination of holders of Common Stock entitled to receive a dividend or other distribution payable in shares of Common Stock, Options or in Convertible Securities or to subscribe for or purchase shares of Common Stock, Options or in Convertible Securities and (A) such dividend is not fully paid or if such distribution is not fully made, or the subscription rights are not fully granted, on the date fixed therefor, the Fixed Conversion Price shall be adjusted pursuant to this Section 3.3(a)(iv) as of the time of actual payment of such dividends or distributions or the effectiveness of such subscription rights or (B) the Company shall subsequently rescind or otherwise cancel or determine not to make such dividend or distribution or to grant such subscription rights, then any adjustment to the Fixed Conversion Price made pursuant to this Section 3.3(a)(iv) with respect to the fixing of such record date shall be reversed and of no further force or effect as of the date of the Company’s public announcement that it is rescinding or otherwise canceling or determining not making such dividend or distribution or the grant of such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Fractional Shares; Fractional Amounts</w:t>
      </w:r>
      <w:r>
        <w:rPr>
          <w:rFonts w:ascii="Times New Roman;Times;Serif" w:hAnsi="Times New Roman;Times;Serif"/>
          <w:b w:val="false"/>
          <w:i w:val="false"/>
          <w:caps w:val="false"/>
          <w:smallCaps w:val="false"/>
          <w:sz w:val="20"/>
        </w:rPr>
        <w:t>. The Company shall not issue any fractional shares and shall round such fractional shares up to the nearest whole share. If any adjustments to the Fixed Conversion Price under this Section 3.3 result in a fractional amount, the fractional amount shall be rounded down to the nearest whole 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Impairment</w:t>
      </w:r>
      <w:r>
        <w:rPr>
          <w:rFonts w:ascii="Times New Roman;Times;Serif" w:hAnsi="Times New Roman;Times;Serif"/>
          <w:b w:val="false"/>
          <w:i w:val="false"/>
          <w:caps w:val="false"/>
          <w:smallCaps w:val="false"/>
          <w:sz w:val="20"/>
        </w:rPr>
        <w:t>. The Maker shall not, directly or indirectly, by amendment of its Charter or through any reorganization, transfer of assets, consolidation, merger, dissolution, issue or sale of securities or any other voluntary action, avoid or seek to avoid the observance or performance of any of the terms to be observed or performed hereunder by the Maker, but will at all times in good faith carry out all of the provisions of this Section 3.3 and take such actions as may be necessary or appropriate in order to protect the conversion rights of the Holder against impairment. In the event the Holder shall elect to convert this Note as provided herein, the Maker cannot refuse conversion based on any claim that the Holder or anyone associated or affiliated with the Holder has been engaged in any violation of Law, violation of an agreement to which the Holder is a party or for any reason whatsoever, unless, an injunction from a court on prior notice, enjoining conversion of this Note shall have issued and the Maker posts a surety bond for the benefit of the Holder in an amount equal to 150% of the Principal of the Note which the Holder has elected to convert, which bond shall remain in effect until the completion of litigation of the dispute and the proceeds of which shall be payable to the Holder (as liquidated damages) in the event it obtains a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Certificates as to Adjustments</w:t>
      </w:r>
      <w:r>
        <w:rPr>
          <w:rFonts w:ascii="Times New Roman;Times;Serif" w:hAnsi="Times New Roman;Times;Serif"/>
          <w:b w:val="false"/>
          <w:i w:val="false"/>
          <w:caps w:val="false"/>
          <w:smallCaps w:val="false"/>
          <w:sz w:val="20"/>
        </w:rPr>
        <w:t>. Upon occurrence of each adjustment or readjustment of the Fixed Conversion Price or number of shares of Common Stock issuable upon conversion of this Note pursuant to this Section 3.3, the Maker at its expense shall promptly compute such adjustment or readjustment in accordance with the terms hereof and furnish to the Holder a certificate setting forth such adjustment and readjustment, showing in detail the facts upon which such adjustment or readjustment is based. The Maker shall, upon written request of the Holder, at any time, furnish or cause to be furnished to the Holder a like certificate setting forth such adjustments and readjustments, the applicable Fixed Conversion Price in effect at the time, and the number of shares of Common Stock and the amount, if any, of other securities or property which at the time would be received upon the conversion of this Note. Notwithstanding the foregoing, the Maker shall not be obligated to deliver a certificate unless such certificate would reflect an increase or decrease of at least one percent of such adjusted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Issuance Taxes</w:t>
      </w:r>
      <w:r>
        <w:rPr>
          <w:rFonts w:ascii="Times New Roman;Times;Serif" w:hAnsi="Times New Roman;Times;Serif"/>
          <w:b w:val="false"/>
          <w:i w:val="false"/>
          <w:caps w:val="false"/>
          <w:smallCaps w:val="false"/>
          <w:sz w:val="20"/>
        </w:rPr>
        <w:t xml:space="preserve">. The Maker shall pay any and all issuance and other taxes, excluding federal, state or local income taxes, that may be payable in respect of any issue or delivery of Common Stock on conversion of this Note pursuant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Maker shall not be obligated to pay any transfer taxes resulting from any transfer requested by the Holder in connection with any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The Maker shall at all times while this Note shall be outstanding, reserve and keep available out of its authorized but unissued Common Stock the Required Minimum of Common Stock (disregarding for this purpose any and all limitations of any kind on such conversion including the Beneficial Ownership Limitation). The Maker shall, from time-to-time, increase the authorized number of shares of Common Stock or take other effective action if at any time the unissued number of authorized shares shall not be sufficient to satisfy the Maker’s obligations under this Section 3.3(f).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Regulatory Compliance</w:t>
      </w:r>
      <w:r>
        <w:rPr>
          <w:rFonts w:ascii="Times New Roman;Times;Serif" w:hAnsi="Times New Roman;Times;Serif"/>
          <w:b w:val="false"/>
          <w:i w:val="false"/>
          <w:caps w:val="false"/>
          <w:smallCaps w:val="false"/>
          <w:sz w:val="20"/>
        </w:rPr>
        <w:t>. If any Common Stock to be reserved for the purpose of conversion of this Note requires registration or listing with or approval of any Governmental Authority, national securities exchange or other regulatory body under any federal or state Law or regulation or otherwise before such shares may be validly issued or delivered upon conversion, the Maker shall, at its sole cost and expense, in good faith and as expeditiously as possible, secure such registration, listing or approval, as the case may be.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803"/>
        <w:gridCol w:w="9307"/>
      </w:tblGrid>
      <w:tr>
        <w:trPr/>
        <w:tc>
          <w:tcPr>
            <w:tcW w:w="9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pPr>
            <w:r>
              <w:rPr/>
              <w:t>3.4</w:t>
            </w:r>
          </w:p>
        </w:tc>
        <w:tc>
          <w:tcPr>
            <w:tcW w:w="9307" w:type="dxa"/>
            <w:tcBorders/>
            <w:vAlign w:val="center"/>
          </w:tcPr>
          <w:p>
            <w:pPr>
              <w:pStyle w:val="TableContents"/>
              <w:bidi w:val="0"/>
              <w:spacing w:before="0" w:after="283"/>
              <w:jc w:val="both"/>
              <w:rPr>
                <w:u w:val="single"/>
              </w:rPr>
            </w:pPr>
            <w:r>
              <w:rPr>
                <w:u w:val="single"/>
              </w:rPr>
              <w:t>Rights Upon Fundamental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Assumption</w:t>
      </w:r>
      <w:r>
        <w:rPr>
          <w:rFonts w:ascii="Times New Roman;Times;Serif" w:hAnsi="Times New Roman;Times;Serif"/>
          <w:b w:val="false"/>
          <w:i w:val="false"/>
          <w:caps w:val="false"/>
          <w:smallCaps w:val="false"/>
          <w:sz w:val="20"/>
        </w:rPr>
        <w:t>. The Company shall not enter into or be party to a Fundamental Transaction unless (i) the Person (which may be the Company) formed by, resulting from or surviving any Fundamental Transaction or the Person with which such Fundamental Transaction shall have been entered into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assumes in writing all of the obligations of the Company under this Note and the other Transaction Documents in accordance with the provisions of this Section 3.4(a) pursuant to written agreements in form and substance satisfactory to the Holder and approved by the Holder prior to such Fundamental Transaction, including agreements to deliver to the Holder in exchange for the Note a security of the Successor Entity evidenced by a written instrument substantially similar in form and substance to the Note satisfactory to the Holder, including, without limitation, having Principal and Interest equal to the Principal then outstanding and any accrued and unpaid Interest thereon (if any) of the Note held by the Holder, having similar conversion rights as the Note and having similar ranking and security to the Note, and (ii) the Successor Entity (including its parent entity) is a publicly-traded corporation whose common stock is listed for trading on a national securities exchange operated by The Nasdaq Stock Market, LLC or the New York Stock Exchange. Upon the occurrence of any Fundamental Transaction, the Successor Entity shall succeed to, and be substituted for (so that from and after the date of such Fundamental Transaction, the provisions of this Note and the other Transaction Documents referring to the “Company” or the “Maker”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prepayment of this Note at any time after the consummation of such Fundamental Transaction, in lieu of the shares of Common Stock issuable upon the conversion or prepayment of the Note prior to such Fundamental Transaction, such shares of the publicly-traded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3.4(a) to permit the Fundamental Transaction without the assumption of this Note. The provisions of this Section 3.4(a) shall apply similarly and equally to successive Fundamental Transactions and shall be applied without regard to any limitations on the conversion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Other Corporate Events</w:t>
      </w:r>
      <w:r>
        <w:rPr>
          <w:rFonts w:ascii="Times New Roman;Times;Serif" w:hAnsi="Times New Roman;Times;Serif"/>
          <w:b w:val="false"/>
          <w:i w:val="false"/>
          <w:caps w:val="false"/>
          <w:smallCaps w:val="false"/>
          <w:sz w:val="20"/>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Times;Serif" w:hAnsi="Times New Roman;Times;Serif"/>
          <w:b w:val="false"/>
          <w:i w:val="false"/>
          <w:caps w:val="false"/>
          <w:smallCaps w:val="false"/>
          <w:sz w:val="20"/>
          <w:u w:val="single"/>
        </w:rPr>
        <w:t>Corporate Event</w:t>
      </w:r>
      <w:r>
        <w:rPr>
          <w:rFonts w:ascii="Times New Roman;Times;Serif" w:hAnsi="Times New Roman;Times;Serif"/>
          <w:b w:val="false"/>
          <w:i w:val="false"/>
          <w:caps w:val="false"/>
          <w:smallCaps w:val="false"/>
          <w:sz w:val="20"/>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price for such consideration commensurate with the Conversion Price. Provision made pursuant to the preceding sentence shall be in a form and substance satisfactory to the Holder. The provisions of this Section 3.4(b) shall apply similarly and equally to successive Corporate Events and shall be applied without regard to any limitations on the conversion or prepayment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Prepayment Following a Change of Control</w:t>
      </w:r>
      <w:r>
        <w:rPr>
          <w:rFonts w:ascii="Times New Roman;Times;Serif" w:hAnsi="Times New Roman;Times;Serif"/>
          <w:b w:val="false"/>
          <w:i w:val="false"/>
          <w:caps w:val="false"/>
          <w:smallCaps w:val="false"/>
          <w:sz w:val="20"/>
        </w:rPr>
        <w:t>. No later than 15 days following the entry by the Company into an agreement for a Change of Control but in no event prior to the public announcement of such Change of Control, the Maker shall deliver written notice describing the entry into such agreement (“</w:t>
      </w:r>
      <w:r>
        <w:rPr>
          <w:rFonts w:ascii="Times New Roman;Times;Serif" w:hAnsi="Times New Roman;Times;Serif"/>
          <w:b w:val="false"/>
          <w:i w:val="false"/>
          <w:caps w:val="false"/>
          <w:smallCaps w:val="false"/>
          <w:sz w:val="20"/>
          <w:u w:val="single"/>
        </w:rPr>
        <w:t>Notice of Change of Control</w:t>
      </w:r>
      <w:r>
        <w:rPr>
          <w:rFonts w:ascii="Times New Roman;Times;Serif" w:hAnsi="Times New Roman;Times;Serif"/>
          <w:b w:val="false"/>
          <w:i w:val="false"/>
          <w:caps w:val="false"/>
          <w:smallCaps w:val="false"/>
          <w:sz w:val="20"/>
        </w:rPr>
        <w:t>”) to the Holder. Within 15 days after receipt of a Notice of Change of Control, the Holder may require the Maker to prepay, effective immediately prior to the consummation of such Change of Control, an amount equal to 110% of the sum of (x) the outstanding Principal of this Note and (y) and any accrued and unpaid Interest thereon (if any) (the “</w:t>
      </w:r>
      <w:r>
        <w:rPr>
          <w:rFonts w:ascii="Times New Roman;Times;Serif" w:hAnsi="Times New Roman;Times;Serif"/>
          <w:b w:val="false"/>
          <w:i w:val="false"/>
          <w:caps w:val="false"/>
          <w:smallCaps w:val="false"/>
          <w:sz w:val="20"/>
          <w:u w:val="single"/>
        </w:rPr>
        <w:t>COC Repayment Price</w:t>
      </w:r>
      <w:r>
        <w:rPr>
          <w:rFonts w:ascii="Times New Roman;Times;Serif" w:hAnsi="Times New Roman;Times;Serif"/>
          <w:b w:val="false"/>
          <w:i w:val="false"/>
          <w:caps w:val="false"/>
          <w:smallCaps w:val="false"/>
          <w:sz w:val="20"/>
        </w:rPr>
        <w:t>”), by delivering written notice thereof (“</w:t>
      </w:r>
      <w:r>
        <w:rPr>
          <w:rFonts w:ascii="Times New Roman;Times;Serif" w:hAnsi="Times New Roman;Times;Serif"/>
          <w:b w:val="false"/>
          <w:i w:val="false"/>
          <w:caps w:val="false"/>
          <w:smallCaps w:val="false"/>
          <w:sz w:val="20"/>
          <w:u w:val="single"/>
        </w:rPr>
        <w:t>Notice of Prepayment at Option of Holder Upon Change of Control</w:t>
      </w:r>
      <w:r>
        <w:rPr>
          <w:rFonts w:ascii="Times New Roman;Times;Serif" w:hAnsi="Times New Roman;Times;Serif"/>
          <w:b w:val="false"/>
          <w:i w:val="false"/>
          <w:caps w:val="false"/>
          <w:smallCaps w:val="false"/>
          <w:sz w:val="20"/>
        </w:rPr>
        <w:t>”) to the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Payment of COC Repayment Price</w:t>
      </w:r>
      <w:r>
        <w:rPr>
          <w:rFonts w:ascii="Times New Roman;Times;Serif" w:hAnsi="Times New Roman;Times;Serif"/>
          <w:b w:val="false"/>
          <w:i w:val="false"/>
          <w:caps w:val="false"/>
          <w:smallCaps w:val="false"/>
          <w:sz w:val="20"/>
        </w:rPr>
        <w:t>. Upon the Maker’s receipt of a Notice(s) of Prepayment at Option of Holder Upon Change of Control from the Holder, the Maker shall deliver the COC Repayment Price to the Holder immediately prior to the consummation of the Change of Control in exchange for the Holder simultaneously delivery of the original Note to the Maker.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145"/>
        <w:gridCol w:w="8925"/>
      </w:tblGrid>
      <w:tr>
        <w:trPr/>
        <w:tc>
          <w:tcPr>
            <w:tcW w:w="1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3.5</w:t>
            </w:r>
          </w:p>
        </w:tc>
        <w:tc>
          <w:tcPr>
            <w:tcW w:w="8925" w:type="dxa"/>
            <w:tcBorders/>
            <w:vAlign w:val="center"/>
          </w:tcPr>
          <w:p>
            <w:pPr>
              <w:pStyle w:val="TableContents"/>
              <w:bidi w:val="0"/>
              <w:spacing w:before="0" w:after="283"/>
              <w:jc w:val="both"/>
              <w:rPr/>
            </w:pPr>
            <w:r>
              <w:rPr>
                <w:u w:val="single"/>
              </w:rPr>
              <w:t>Inability to Fully Convert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Holder’s Option if Maker Cannot Fully Convert</w:t>
      </w:r>
      <w:r>
        <w:rPr>
          <w:rFonts w:ascii="Times New Roman;Times;Serif" w:hAnsi="Times New Roman;Times;Serif"/>
          <w:b w:val="false"/>
          <w:i w:val="false"/>
          <w:caps w:val="false"/>
          <w:smallCaps w:val="false"/>
          <w:sz w:val="20"/>
        </w:rPr>
        <w:t>. If, upon the Maker’s receipt of a Conversion Notice or as otherwise required under this Note, including with respect to repayment of Principal and any accrued and unpaid Interest thereon (if any) in Common Stock as permitted under this Note, the Maker cannot issue Common Stock for any reason, including, without limitation, because the Maker (x) does not have a sufficient number of shares of Common Stock authorized and available, (y) is precluded from issuing Conversion Shares due to a failure to comply with the Rules, policies and procedures of the Trading Market, or (z) is otherwise prohibited by applicable Law or by the rules or regulations of any national securities exchange, interdealer quotation system or other self-regulatory organization with jurisdiction over the Maker or any of its securities from issuing all of the shares of Common Stock which are to be issued to the Holder pursuant to this Note, then the Maker shall issue as many shares of Common Stock as it is able to issue and, with respect to the unconverted portion of this Note or with respect to any Common Stock not timely issued in accordance with this Note, the Holder, solely at Holder’s option, can elect to do the following which shall be in addition to and not instead of any other rights or provisions set forth herein or in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require the Maker to prepay that portion of this Note for which the Maker is unable to issue Common Stock or for which Common Stock were not timely issued (the “</w:t>
      </w:r>
      <w:r>
        <w:rPr>
          <w:rFonts w:ascii="Times New Roman;Times;Serif" w:hAnsi="Times New Roman;Times;Serif"/>
          <w:b w:val="false"/>
          <w:i w:val="false"/>
          <w:caps w:val="false"/>
          <w:smallCaps w:val="false"/>
          <w:sz w:val="20"/>
          <w:u w:val="single"/>
        </w:rPr>
        <w:t>Mandatory Prepayment</w:t>
      </w:r>
      <w:r>
        <w:rPr>
          <w:rFonts w:ascii="Times New Roman;Times;Serif" w:hAnsi="Times New Roman;Times;Serif"/>
          <w:b w:val="false"/>
          <w:i w:val="false"/>
          <w:caps w:val="false"/>
          <w:smallCaps w:val="false"/>
          <w:sz w:val="20"/>
        </w:rPr>
        <w:t>”) at a price equal to the number of shares of Common Stock that the Maker is unable to issue multiplied by the higher of (A) the Fixed Conversion Price and (B) the VWAP as of the date of the Conversion Notice (the “</w:t>
      </w:r>
      <w:r>
        <w:rPr>
          <w:rFonts w:ascii="Times New Roman;Times;Serif" w:hAnsi="Times New Roman;Times;Serif"/>
          <w:b w:val="false"/>
          <w:i w:val="false"/>
          <w:caps w:val="false"/>
          <w:smallCaps w:val="false"/>
          <w:sz w:val="20"/>
          <w:u w:val="single"/>
        </w:rPr>
        <w:t>Mandatory Prepayment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void its Conversion Notice and retain or have returned, as the case may be, this Note that was to be converted pursuant to the Conversion Notice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Holder’s voiding its Conversion Notice shall not affect the Maker’s obligations to make any payments which have accrued prior to the date of such notice);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defer issuance of the applicable Conversion Shares until such time as the Maker can legally issue such shares;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Principal and any accrued and unpaid Interest thereon (if any) underlying such Conversion Shares shall remain outstanding until the delivery of such Conversion Shares;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that if the Holder elects to defer the issuance of the Conversion Shares, it may exercise its rights under either clause (i) or (ii) above at any time prior to the issuance of the Conversion Shares upon one Trading Day’s notice to the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Mechanics of Fulfilling Holder’s Election</w:t>
      </w:r>
      <w:r>
        <w:rPr>
          <w:rFonts w:ascii="Times New Roman;Times;Serif" w:hAnsi="Times New Roman;Times;Serif"/>
          <w:b w:val="false"/>
          <w:i w:val="false"/>
          <w:caps w:val="false"/>
          <w:smallCaps w:val="false"/>
          <w:sz w:val="20"/>
        </w:rPr>
        <w:t>. The Maker shall immediately send to the Holder, upon receipt of a Conversion Notice from the Holder, which cannot be fully satisfied as described in Section 3.5(a) above, a notice of the Maker’s inability to fully satisfy the Conversion Notice (the “</w:t>
      </w:r>
      <w:r>
        <w:rPr>
          <w:rFonts w:ascii="Times New Roman;Times;Serif" w:hAnsi="Times New Roman;Times;Serif"/>
          <w:b w:val="false"/>
          <w:i w:val="false"/>
          <w:caps w:val="false"/>
          <w:smallCaps w:val="false"/>
          <w:sz w:val="20"/>
          <w:u w:val="single"/>
        </w:rPr>
        <w:t>Inability to Fully Convert Notice</w:t>
      </w:r>
      <w:r>
        <w:rPr>
          <w:rFonts w:ascii="Times New Roman;Times;Serif" w:hAnsi="Times New Roman;Times;Serif"/>
          <w:b w:val="false"/>
          <w:i w:val="false"/>
          <w:caps w:val="false"/>
          <w:smallCaps w:val="false"/>
          <w:sz w:val="20"/>
        </w:rPr>
        <w:t>”). Such Inability to Fully Convert Notice shall indicate (i) the reason why the Maker is unable to fully satisfy the Holder’s Conversion Notice; and (ii) the amount of this Note which cannot be converted. The Holder shall notify the Maker of its election pursuant to Section 3.5(a) above by delivering written notice to the Maker (“</w:t>
      </w:r>
      <w:r>
        <w:rPr>
          <w:rFonts w:ascii="Times New Roman;Times;Serif" w:hAnsi="Times New Roman;Times;Serif"/>
          <w:b w:val="false"/>
          <w:i w:val="false"/>
          <w:caps w:val="false"/>
          <w:smallCaps w:val="false"/>
          <w:sz w:val="20"/>
          <w:u w:val="single"/>
        </w:rPr>
        <w:t>Notice in Response to Inability to Convert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 of Mandatory Prepayment Price</w:t>
      </w:r>
      <w:r>
        <w:rPr>
          <w:rFonts w:ascii="Times New Roman;Times;Serif" w:hAnsi="Times New Roman;Times;Serif"/>
          <w:b w:val="false"/>
          <w:i w:val="false"/>
          <w:caps w:val="false"/>
          <w:smallCaps w:val="false"/>
          <w:sz w:val="20"/>
        </w:rPr>
        <w:t xml:space="preserve">. If the Holder shall elect to have its Note prepaid pursuant to Section 3.5(a)(i) above, the Maker shall pay the Mandatory Prepayment Price to the Holder within five Trading Days of the Maker’s receipt of the Holder’s Notice in Response to Inability to Convert;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prior to the Maker’s receipt of the Holder’s Notice in Response to Inability to Convert the Maker has not delivered a notice to the Holder stating, to the satisfaction of the Holder, that the event or condition resulting in the Mandatory Prepayment has been cured and all Conversion Shares issuable to the Holder can and will be delivered to the Holder in accordance with the terms of this Note. If the Maker shall fail to pay the applicable Mandatory Prepayment Price to the Holder on the date that is two Trading Days following the Maker’s receipt of the Holder’s Notice in Response to Inability to Convert, in addition to any remedy the Holder may have under this Note and the Purchase Agreement, such unpaid amount shall bear interest at the Default Rate (prorated for partial months) until paid in full. Until the full Mandatory Prepayment Price is paid in full to the Holder, the Holder may (i) void the Mandatory Prepayment with respect to that portion of the Note for which the full Mandatory Prepayment Price has not been paid and (ii) receive back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If at any time the Company grants, issues or sells any Common Stock, Options, other Convertible Securities or rights to purchase stock, warrants, securities or other property pro rata to all or substantially all of the record holders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Applicable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and the other Attribution Parties exceeding the Beneficial Ownership Limitation, then the Holder shall not be entitled to participate in such Purchase Right to the extent of the Beneficial Ownership Limitation (and shall not be entitled to beneficial ownership of such shares of Common Stock as a result of such Purchase Right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Beneficial Ownership Limitation,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 In additional, the Holder shall also have the additional purchase rights set forth in Section 4.13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No Rights as Shareholder</w:t>
      </w:r>
      <w:r>
        <w:rPr>
          <w:rFonts w:ascii="Times New Roman;Times;Serif" w:hAnsi="Times New Roman;Times;Serif"/>
          <w:b w:val="false"/>
          <w:i w:val="false"/>
          <w:caps w:val="false"/>
          <w:smallCaps w:val="false"/>
          <w:sz w:val="20"/>
        </w:rPr>
        <w:t>. Nothing contained in this Note shall be construed as conferring upon the Holder, prior to the conversion of this Note, the right to vote or to receive dividends or to consent or to receive notice as a shareholder of the Company in respect of any meeting of shareholders for the election of directors of the Maker or of any other matter, or any other rights as a shareholder of the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Floor Price</w:t>
      </w:r>
      <w:r>
        <w:rPr>
          <w:rFonts w:ascii="Times New Roman;Times;Serif" w:hAnsi="Times New Roman;Times;Serif"/>
          <w:b w:val="false"/>
          <w:i w:val="false"/>
          <w:caps w:val="false"/>
          <w:smallCaps w:val="false"/>
          <w:sz w:val="20"/>
        </w:rPr>
        <w:t>. Notwithstanding anything in this Note to the contrary, in no event shall the Conversion Price be lower than the Floor Price. If the Company receives a Conversion Notice at a time at which the applicable Conversion Price then in effect (as applicable, the “</w:t>
      </w:r>
      <w:r>
        <w:rPr>
          <w:rFonts w:ascii="Times New Roman;Times;Serif" w:hAnsi="Times New Roman;Times;Serif"/>
          <w:b w:val="false"/>
          <w:i w:val="false"/>
          <w:caps w:val="false"/>
          <w:smallCaps w:val="false"/>
          <w:sz w:val="20"/>
          <w:u w:val="single"/>
        </w:rPr>
        <w:t>Applicable Conversion Price</w:t>
      </w:r>
      <w:r>
        <w:rPr>
          <w:rFonts w:ascii="Times New Roman;Times;Serif" w:hAnsi="Times New Roman;Times;Serif"/>
          <w:b w:val="false"/>
          <w:i w:val="false"/>
          <w:caps w:val="false"/>
          <w:smallCaps w:val="false"/>
          <w:sz w:val="20"/>
        </w:rPr>
        <w:t xml:space="preserve">”) (without regard to the Floor Price) is lower than the Floor Price then in effect, the Company shall either (i) reduce the Floor Price to allow such conversion to be made at the Applicable Conversion Price, or (ii) issue a number of shares equal to the Conversion Amount divided by such Floor Price and either (A) pay the economic difference between the Applicable Conversion Price (without regard to the Floor Price) and such Floor Price in cash or (B) add such economic difference to the Principal of this Note,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Floor Price and this Section 3.8 shall not apply to any conversions or other issuances under this Note if an Event of Default has occurred or is continuing. For further clarification, the economic difference shall be equal to (A) the number of shares that would have been delivered using the Applicable Conversion Price, minus (B) the number of shares delivered using the Floor Price, multiplied by (C) the daily VWAP of the Common Stock on the Conversion Date ((A-B)*C).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For so long as any Principal of this Note remains outstanding, unless Holder has otherwise given prior written consent, the Company shall be bound by, and shall cause each of its Subsidiaries to be bound by, the following covenants which covenants shall apply to such Subsidiaries even though only the Company is mentioned: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All payments due under this Note shall rank senior to all other Indebtedness of the Company and its Subsidiaries, except for any Additional Note(s) upon issuance with which payments under this Note shall rank pari passu. For the avoidance of doubt, the Company shall not create any Indebtedness which rank senior to this Note in payment without the Holder’s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Existence of Liens</w:t>
      </w:r>
      <w:r>
        <w:rPr>
          <w:rFonts w:ascii="Times New Roman;Times;Serif" w:hAnsi="Times New Roman;Times;Serif"/>
          <w:b w:val="false"/>
          <w:i w:val="false"/>
          <w:caps w:val="false"/>
          <w:smallCaps w:val="false"/>
          <w:sz w:val="20"/>
        </w:rPr>
        <w:t>. The Company shall not directly or indirectly incur or guarantee or assume any Indebtedness, other than Permitted Indebtedness, or allow or suffer to exist any mortgage, lien, pledge, charge, security interest, deed of trust, or other encumbrance upon or in any property or assets (including accounts and contract rights) owned by the Company or any of its Subsidiaries (collectively,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Except as otherwise provided for in this Note or the other Transaction Documents, the Company shall not directly or indirectly prepay, defease, repurchase, repay or make any payments in respect of, by the payment of cash or cash equivalents (in whole or in part, whether by way of open market purchases, tender offers, private transactions or otherwise), all or any portion of any Indebtedness (other than the Note and any Additional Note(s)) whether by way of payment in respect of principal of (or premium, if any) or Interest on, such Indebtedness if at the time such payment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Restriction on Redemptions, Repurchases, Dividends and Distributions</w:t>
      </w:r>
      <w:r>
        <w:rPr>
          <w:rFonts w:ascii="Times New Roman;Times;Serif" w:hAnsi="Times New Roman;Times;Serif"/>
          <w:b w:val="false"/>
          <w:i w:val="false"/>
          <w:caps w:val="false"/>
          <w:smallCaps w:val="false"/>
          <w:sz w:val="20"/>
        </w:rPr>
        <w:t>. The Company shall not directly or indirectly redeem, repurchase or declare or pay any cash dividend or other distribution on any shares of capital stock or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Restriction on Transfer of Assets</w:t>
      </w:r>
      <w:r>
        <w:rPr>
          <w:rFonts w:ascii="Times New Roman;Times;Serif" w:hAnsi="Times New Roman;Times;Serif"/>
          <w:b w:val="false"/>
          <w:i w:val="false"/>
          <w:caps w:val="false"/>
          <w:smallCaps w:val="false"/>
          <w:sz w:val="20"/>
        </w:rPr>
        <w:t>. The Company shall not directly or indirectly sell, lease, license, assign, transfer, spin-off, split-off, convey or otherwise dispose of any assets or rights of the Company or any Subsidiary located in or otherwise subject to the jurisdiction of a state or territory of the United States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(ii) sales of inventory and products in the ordinary course of business, and (iii) sales of unwanted or obsolete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The Company shall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Maintenance of Properties, Etc</w:t>
      </w:r>
      <w:r>
        <w:rPr>
          <w:rFonts w:ascii="Times New Roman;Times;Serif" w:hAnsi="Times New Roman;Times;Serif"/>
          <w:b w:val="false"/>
          <w:i w:val="false"/>
          <w:caps w:val="false"/>
          <w:smallCaps w:val="false"/>
          <w:sz w:val="20"/>
        </w:rPr>
        <w:t>. The Company shall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Maintenance of Intellectual Property</w:t>
      </w:r>
      <w:r>
        <w:rPr>
          <w:rFonts w:ascii="Times New Roman;Times;Serif" w:hAnsi="Times New Roman;Times;Serif"/>
          <w:b w:val="false"/>
          <w:i w:val="false"/>
          <w:caps w:val="false"/>
          <w:smallCaps w:val="false"/>
          <w:sz w:val="20"/>
        </w:rPr>
        <w:t>. The Company shall take all action necessary or advisable to maintain all of the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of the Company and/or any of its Subsidiaries, in each case that are necessary or material to the conduct of its business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and as is carried generally by companies in similar businesses similarly situated. Within 30 days of the Original Issuance Date, the Company shall have in effect a directors and officers liability insurance policy in accordance with the preceding sentence, and maintain such insurance policy at all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The Company shall not enter into, renew, extend or be a party to, any transaction or series of related transactions (including, without limitation, the purchase, sale, lease, transfer or exchange of property or assets of any kind or the rendering of services of any kind) with any Affiliate, except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Maker shall use the proceeds of this Note only as set forth in the Purchase Agreement, and shall not use such proceeds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Operation of Business</w:t>
      </w:r>
      <w:r>
        <w:rPr>
          <w:rFonts w:ascii="Times New Roman;Times;Serif" w:hAnsi="Times New Roman;Times;Serif"/>
          <w:b w:val="false"/>
          <w:i w:val="false"/>
          <w:caps w:val="false"/>
          <w:smallCaps w:val="false"/>
          <w:sz w:val="20"/>
        </w:rPr>
        <w:t>. The Company shall operate its business in the ordinary course consistent with past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Compliance with Transaction Documents</w:t>
      </w:r>
      <w:r>
        <w:rPr>
          <w:rFonts w:ascii="Times New Roman;Times;Serif" w:hAnsi="Times New Roman;Times;Serif"/>
          <w:b w:val="false"/>
          <w:i w:val="false"/>
          <w:caps w:val="false"/>
          <w:smallCaps w:val="false"/>
          <w:sz w:val="20"/>
        </w:rPr>
        <w:t>. The Maker shall comply with its obligations under this Note and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Payment of Taxes, Etc</w:t>
      </w:r>
      <w:r>
        <w:rPr>
          <w:rFonts w:ascii="Times New Roman;Times;Serif" w:hAnsi="Times New Roman;Times;Serif"/>
          <w:b w:val="false"/>
          <w:i w:val="false"/>
          <w:caps w:val="false"/>
          <w:smallCaps w:val="false"/>
          <w:sz w:val="20"/>
        </w:rPr>
        <w:t xml:space="preserve">. The Maker shall promptly pay and discharge, or cause to be paid and discharged, when due and payable, all lawful taxes, assessments and governmental charges or levies imposed upon the income, profits, property or business of the Maker and the Subsidiaries, except for such failures to pay that, individually or in the aggregate, have not had and would not reasonably be expected to have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tax, assessment, charge or levy need not be paid if the validity thereof shall currently be contested in good faith by appropriate proceedings and if the Maker or such Subsidiaries shall have set aside on its books adequate reserves with respect thereto,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Maker and such Subsidiaries will pay all such taxes, assessments, charges or levies forthwith upon the commencement of proceedings to foreclose any lien which may have attached as security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Variable Rate Transaction</w:t>
      </w:r>
      <w:r>
        <w:rPr>
          <w:rFonts w:ascii="Times New Roman;Times;Serif" w:hAnsi="Times New Roman;Times;Serif"/>
          <w:b w:val="false"/>
          <w:i w:val="false"/>
          <w:caps w:val="false"/>
          <w:smallCaps w:val="false"/>
          <w:sz w:val="20"/>
        </w:rPr>
        <w:t>. The Company shall not enter into any Variable Rate Transaction, except as otherwise expressly permitted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Option of the Holder</w:t>
      </w:r>
      <w:r>
        <w:rPr>
          <w:rFonts w:ascii="Times New Roman;Times;Serif" w:hAnsi="Times New Roman;Times;Serif"/>
          <w:b w:val="false"/>
          <w:i w:val="false"/>
          <w:caps w:val="false"/>
          <w:smallCaps w:val="false"/>
          <w:sz w:val="20"/>
        </w:rPr>
        <w:t>. In connection with the number of Trading Days referred to in this Note, the Holder shall have the option to add the number of Trading Days for which a temporary “chill” has been in effect as specified in the Purchase Agreement. This Section 4.2 and any election by the Holder shall not be deemed to modify the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Subsidiary Guaranty</w:t>
      </w:r>
      <w:r>
        <w:rPr>
          <w:rFonts w:ascii="Times New Roman;Times;Serif" w:hAnsi="Times New Roman;Times;Serif"/>
          <w:b w:val="false"/>
          <w:i w:val="false"/>
          <w:caps w:val="false"/>
          <w:smallCaps w:val="false"/>
          <w:sz w:val="20"/>
        </w:rPr>
        <w:t>. If the Company organizes or acquires a new Subsidiary, the Company shall, within 10 Trading Days of such organization or acquisition, (i) cause the new Subsidiary to become a party to, and to guarantee the Note pursuant to, a Guarantee Agreement in the form reasonably acceptable to the Holder, and (ii) (A) if such Subsidiary is located in or otherwise subject to the jurisdiction of a state or territory of the United States, or (B) if the Company directly or indirectly brings assets into or acquires assets located within the United States, pledge the equity interests of such Subsidiary or such assets under, and cause such Subsidiary to become a party to, and the Company shall be a party to, a Security Agreement and a Pledge Agreement in the forms reasonably acceptable to the Holder (including the delivery of the pledged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Pre-Delivery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Pre-Delivery Shares (as defined in the Purchase Agreement) are intended to be and, if so elected by the Holder in accordance herewith, are and shall be deemed issued to the Holder as Conversion Shares issuable hereunder. By accepting this Note, the Holder hereby agrees and acknowledges that it does not have the right to sell, assign, pledge, transfer, dispose of, swap, hedge, vote, enter into any derivative transaction or similar transaction involving, or enter into an agreement to engage in any of the foregoing with respect to, the Pre-Delivery Shares or any rights or interests therein or incident thereto, other than (x) proportionally in connection with any transfer in whole, or in part, as applicable, of this Note to any other Person or (y) in accordance with this Section 4.4. While this Note remains outstanding, the Holder’s only right with respect to the Pre-Delivery Shares is to cause the Transfer Agent upon a conversion of this Note or any Additional Note(s) issued to the Holder to transfer the applicable Underlying Shares to the Holder’s prime broker or directly to a third party purchaser of such Underlying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Application of Pre-Delivery Shares; Delivery Shares</w:t>
      </w:r>
      <w:r>
        <w:rPr>
          <w:rFonts w:ascii="Times New Roman;Times;Serif" w:hAnsi="Times New Roman;Times;Serif"/>
          <w:b w:val="false"/>
          <w:i w:val="false"/>
          <w:caps w:val="false"/>
          <w:smallCaps w:val="false"/>
          <w:sz w:val="20"/>
        </w:rPr>
        <w:t>. At any time the Company is required to deliver shares of Common Stock to the Holder hereunder (such shares of Common Stock, each a “</w:t>
      </w:r>
      <w:r>
        <w:rPr>
          <w:rFonts w:ascii="Times New Roman;Times;Serif" w:hAnsi="Times New Roman;Times;Serif"/>
          <w:b w:val="false"/>
          <w:i w:val="false"/>
          <w:caps w:val="false"/>
          <w:smallCaps w:val="false"/>
          <w:sz w:val="20"/>
          <w:u w:val="single"/>
        </w:rPr>
        <w:t>Delivery Share</w:t>
      </w:r>
      <w:r>
        <w:rPr>
          <w:rFonts w:ascii="Times New Roman;Times;Serif" w:hAnsi="Times New Roman;Times;Serif"/>
          <w:b w:val="false"/>
          <w:i w:val="false"/>
          <w:caps w:val="false"/>
          <w:smallCaps w:val="false"/>
          <w:sz w:val="20"/>
        </w:rPr>
        <w:t>” and together the “</w:t>
      </w:r>
      <w:r>
        <w:rPr>
          <w:rFonts w:ascii="Times New Roman;Times;Serif" w:hAnsi="Times New Roman;Times;Serif"/>
          <w:b w:val="false"/>
          <w:i w:val="false"/>
          <w:caps w:val="false"/>
          <w:smallCaps w:val="false"/>
          <w:sz w:val="20"/>
          <w:u w:val="single"/>
        </w:rPr>
        <w:t>Delivery Shares</w:t>
      </w:r>
      <w:r>
        <w:rPr>
          <w:rFonts w:ascii="Times New Roman;Times;Serif" w:hAnsi="Times New Roman;Times;Serif"/>
          <w:b w:val="false"/>
          <w:i w:val="false"/>
          <w:caps w:val="false"/>
          <w:smallCaps w:val="false"/>
          <w:sz w:val="20"/>
        </w:rPr>
        <w:t>”), whether upon conversion or otherwise, and the Holder (or its designee) holds one or more Pre-Delivery Shares, the Holder may in its discretion request (each, a “</w:t>
      </w:r>
      <w:r>
        <w:rPr>
          <w:rFonts w:ascii="Times New Roman;Times;Serif" w:hAnsi="Times New Roman;Times;Serif"/>
          <w:b w:val="false"/>
          <w:i w:val="false"/>
          <w:caps w:val="false"/>
          <w:smallCaps w:val="false"/>
          <w:sz w:val="20"/>
          <w:u w:val="single"/>
        </w:rPr>
        <w:t>Delivery Share Application</w:t>
      </w:r>
      <w:r>
        <w:rPr>
          <w:rFonts w:ascii="Times New Roman;Times;Serif" w:hAnsi="Times New Roman;Times;Serif"/>
          <w:b w:val="false"/>
          <w:i w:val="false"/>
          <w:caps w:val="false"/>
          <w:smallCaps w:val="false"/>
          <w:sz w:val="20"/>
        </w:rPr>
        <w:t>”) one or more Pre- Delivery Shares, on a share-for-share basis, be deemed issued as Conversion Shares and the Transfer Agent shall upon the written authorization of the Holder deliver the Pre-Delivery Shares in lieu of the issuance and delivery of new Conversion Shares on behalf of the Holder as provided in Section 4.4(a), as available, against the aggregate number of shares required to then be delivered by the Company to the Holder hereunder (such aggregate number of shares subject to such Delivery Share Application, each a “</w:t>
      </w:r>
      <w:r>
        <w:rPr>
          <w:rFonts w:ascii="Times New Roman;Times;Serif" w:hAnsi="Times New Roman;Times;Serif"/>
          <w:b w:val="false"/>
          <w:i w:val="false"/>
          <w:caps w:val="false"/>
          <w:smallCaps w:val="false"/>
          <w:sz w:val="20"/>
          <w:u w:val="single"/>
        </w:rPr>
        <w:t>Delivery Share Application Amount</w:t>
      </w:r>
      <w:r>
        <w:rPr>
          <w:rFonts w:ascii="Times New Roman;Times;Serif" w:hAnsi="Times New Roman;Times;Serif"/>
          <w:b w:val="false"/>
          <w:i w:val="false"/>
          <w:caps w:val="false"/>
          <w:smallCaps w:val="false"/>
          <w:sz w:val="20"/>
        </w:rPr>
        <w:t xml:space="preserve">”) to avoid the occurrence of a Conversion Failure hereunder with respect thereto. At the time of a Delivery Share Application, each such applied Pre-Delivery Share shall cease to be a Pre-Delivery Share hereunder and shall become a Delivery Share hereunder (with such Delivery Share Applicable Amount of shares issued (or issuable) in such conversion becoming Pre-Delivery Shares upon such issuance and delivery to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if the aggregate Pre-Delivery Shares held by the Holder is greater than or equal to the shares then issuable upon a conversion of this Note, upon any subsequent conversion of this Note, in lieu of the issuance and delivery of new Delivery Shares to the Holder, the Holder may request each such applicable Pre-Delivery Share be deemed issued as Conversion Shares, on a share-by-share basis with respect to such aggregate number of Delivery Shares otherwise issuable in such conversion of this Note, and each such applied Pre-Delivery Share shall cease to be a Pre-Delivery Share hereunder and shall become a Delivery Share hereunder in satisfaction of the Company’s obligation to deliver such Delivery Share to the Holder in such applicable conversion. For the avoidance of doubt, any such treatment with respect to a subsequent conversion shall be deemed to be a Delivery Share Application. The terms “Delivery Shares” and “Conversion Shares” are used interchangeably in this Note and in each case refer to the shares of Common Stock issuable upon conversion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Limitations on Dividends and Distributions; Certain Adjustments</w:t>
      </w:r>
      <w:r>
        <w:rPr>
          <w:rFonts w:ascii="Times New Roman;Times;Serif" w:hAnsi="Times New Roman;Times;Serif"/>
          <w:b w:val="false"/>
          <w:i w:val="false"/>
          <w:caps w:val="false"/>
          <w:smallCaps w:val="false"/>
          <w:sz w:val="20"/>
        </w:rPr>
        <w:t xml:space="preserve">. The Holder and the Company hereby agree that, without limiting any rights of the Holder hereunder in its capacity as the holder of this Note (including, without limitation, pursuant to Article V herein, which shall not be amended, modified or waived hereunder as a result of this Section 4.4(c) and shall remain in full force and effect), the Holder undertakes not to receive any cash or other dividends or distributions that may be declared or paid by the Company with respect to such Pre-Delivery Shares (other than as set forth in Section 3.3(a)(i) of this Note) ;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this Section 4.4(c) shall cease to apply to any applicable Pre-Delivery Share at such time as such Pre-Delivery Share becomes a Delivery Share as a result of a Delivery Share Application hereunder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nothing in this Section 4.4(c) shall amend, modify or waive any term or condition of Article III above, which shall remain in full force and effect notwithstanding the applicability of this Section 4.4(c) to any shares of Common Stock of the Company). Notwithstanding anything herein to the contrary, the Pre-Delivery Shares shall be subject to equitable adjustment with respect to any share subdivision, share consolidation, share dividend, or recapitalization or similar corporate event, without duplication of Section 3.3(a)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Event of Default Pre-Delivery Shares</w:t>
      </w:r>
      <w:r>
        <w:rPr>
          <w:rFonts w:ascii="Times New Roman;Times;Serif" w:hAnsi="Times New Roman;Times;Serif"/>
          <w:b w:val="false"/>
          <w:i w:val="false"/>
          <w:caps w:val="false"/>
          <w:smallCaps w:val="false"/>
          <w:sz w:val="20"/>
        </w:rPr>
        <w:t xml:space="preserve">. Upon the occurrence of an Event of Default and subject to compliance with the Companies Act (As Revised) of the Cayman Islands and all applicable laws, in addition to and not in lieu of the other remedies provided for in this Note, the Holder shall receive a number of additional Pre-Delivery Shares determined by dividing 85% of the then outstanding Principal, accrued Interest, and other amounts payable under this Note by the VWAP as of the occurrence Event of Default without any requirement of paying consideration (in the form of conversion of this Note or otherwise) therefor, which event shall constitute partial liquidated damages and not a penalty,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issuance exceed the Beneficial Ownership Limitation, and in the event such issuance would otherwise result in the Beneficial Ownership Limitation being exceeded, the Excess Shares shall be held in abeyance for the benefit of the Holder until such time or times, if ever, as such issuance and the Holder’s right thereto would not result in the Holder and its Affiliates exceeding the Beneficial Ownership Limitation, at which time or times the Company shall issue such Excess Shares to the Holder whereupon such Excess Shares shall become Pre-Delivery Shares that are subject to this Section 4.4 and the corresponding provisions of this Note and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True-Up of Pre-Delivery Shares</w:t>
      </w:r>
      <w:r>
        <w:rPr>
          <w:rFonts w:ascii="Times New Roman;Times;Serif" w:hAnsi="Times New Roman;Times;Serif"/>
          <w:b w:val="false"/>
          <w:i w:val="false"/>
          <w:caps w:val="false"/>
          <w:smallCaps w:val="false"/>
          <w:sz w:val="20"/>
        </w:rPr>
        <w:t xml:space="preserve">. If at any time the product of (A) the number of Pre-Delivery Shares then outstanding and (B) the VWAP then in effect is less than 50% of the Principal of this Note then outstanding, upon notice from the Holder, the Company shall (subject to compliance with the Companies Act (As Revised) of the Cayman Islands and all applicable laws) register additional Pre-Delivery Shares in an amount necessary such that the dollar value of the Pre-Delivery Shares giving effect to such issuance equals at least 100% of the Principal of this Note,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issuance exceed the Beneficial Ownership Limitation, and in the event such issuance would otherwise result in the Beneficial Ownership Limitation being exceeded, the Excess Shares shall be held in abeyance for the benefit of the Holder until such time or times, if ever, as such issuance and the Holder’s right thereto would not result in the Holder and its Affiliates exceeding the Beneficial Ownership Limitation, at which time or times the Company shall issue such Excess Shares to the Holder whereupon such Excess Shares shall become Pre-Delivery Shares that are subject to this Section 4.4 and the corresponding provisions of this Note and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Surrender and Cancellation of Pre-Delivery Shares</w:t>
      </w:r>
      <w:r>
        <w:rPr>
          <w:rFonts w:ascii="Times New Roman;Times;Serif" w:hAnsi="Times New Roman;Times;Serif"/>
          <w:b w:val="false"/>
          <w:i w:val="false"/>
          <w:caps w:val="false"/>
          <w:smallCaps w:val="false"/>
          <w:sz w:val="20"/>
        </w:rPr>
        <w:t>. By accepting this Note, the Holder acknowledges and agrees that if the transfer records of the Company reflect that Pre-Delivery Shares are listed in the Holder’s name on the date promptly following six months after this Note is no longer outstanding, the Company shall cause the Transfer Agent to cancel such remaining Pre-Delivery Shares subject to compliance with the Companies Act (As Revised) of the Cayman Islands and all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Registration Requirement</w:t>
      </w:r>
      <w:r>
        <w:rPr>
          <w:rFonts w:ascii="Times New Roman;Times;Serif" w:hAnsi="Times New Roman;Times;Serif"/>
          <w:b w:val="false"/>
          <w:i w:val="false"/>
          <w:caps w:val="false"/>
          <w:smallCaps w:val="false"/>
          <w:sz w:val="20"/>
        </w:rPr>
        <w:t>. The Company shall register and at all time maintain the registration of the sale and issuance of, and/or the Holder’s resale of, any Pre-Delivery Shares issued or issuable pursuant to the Transaction Documents (including pursuant to the provisions of this Section 4.4) as soon as reasonably practicable, and in any event within the timeframes and in accordance with the provisions set forth in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Beneficial Ownership Limitation for Pre-Delivery Shares.</w:t>
      </w:r>
      <w:r>
        <w:rPr>
          <w:rFonts w:ascii="Times New Roman;Times;Serif" w:hAnsi="Times New Roman;Times;Serif"/>
          <w:b w:val="false"/>
          <w:i w:val="false"/>
          <w:caps w:val="false"/>
          <w:smallCaps w:val="false"/>
          <w:sz w:val="20"/>
        </w:rPr>
        <w:t xml:space="preserve"> Notwithstanding anything herein to the contrary, and subject to compliance with the Companies Act (As Revised) of the Cayman Islands and all applicable laws, Pre-Delivery Shares shall not become Delivery Shares, and the Holder shall not be deemed to beneficially own the Pre-Delivery Shares, to the extent such event would result in the Beneficial Ownership Limitation being exceeded, and in such case any such shares shall be held in abeyance in the same manner as set forth in Section 4.4(d) of this Note. Although the Holder is not a beneficial owner of the Pre-Delivery Shares, out of an abundance of caution if any Conversion Notice delivered under this Note provides for a number of Conversion Shares which, together with the Pre-Delivery Shares (assuming for this purpose that the Pre-Delivery Shares are beneficially owned by the Holder), would cause the Holder to exceed the Beneficial Ownership Limitation, such Conversion Notice shall be deemed to be for such lesser amount of Principal and Conversion Shares so converted so as to cause the Holder to remain below the Beneficial Ownership Limitation after giving to such conversion, and any Excess Shares shall not be issued and shall be  deemed null and void ab initio, the Holder shall not have the power to vote or sell the Conversion Shares, and such shares cancelled in accordance with the Companies Act (As Revised) of the Cayman Islands and all applicable laws. Nothing contained in this Section 4.4(h) shall be construed to prevent the Holder from using Pre-Delivery Shares as Delivery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given as provided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Governing Law; Exclusive Jurisdiction</w:t>
      </w:r>
      <w:r>
        <w:rPr>
          <w:rFonts w:ascii="Times New Roman;Times;Serif" w:hAnsi="Times New Roman;Times;Serif"/>
          <w:b w:val="false"/>
          <w:i w:val="false"/>
          <w:caps w:val="false"/>
          <w:smallCaps w:val="false"/>
          <w:sz w:val="20"/>
        </w:rPr>
        <w:t>. All questions arising under or concerning the construction, interpretation, validity, enforcement and defense of this Note shall be governed by and construed and enforced in accordance with the Purchase Agreement and all Actions arising under or concerning the construction, interpretation, validity, enforcement and defense of this Note shall only be brought in the courts specified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Article and Section headings in this Note are included herein for purposes of convenience of reference only and shall not constitute a part of this Note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Remedies, Characterizations, Other Obligations, Breaches and Injunctive Relief</w:t>
      </w:r>
      <w:r>
        <w:rPr>
          <w:rFonts w:ascii="Times New Roman;Times;Serif" w:hAnsi="Times New Roman;Times;Serif"/>
          <w:b w:val="false"/>
          <w:i w:val="false"/>
          <w:caps w:val="false"/>
          <w:smallCaps w:val="false"/>
          <w:sz w:val="20"/>
        </w:rPr>
        <w:t>. The remedies provided in this Note shall be cumulative and in addition to all other remedies available under this Note, at law or in equity (including, without limitation, a decree of specific performance and/or other injunctive relief), no remedy contained herein shall be deemed a waiver of compliance with the provisions giving rise to such remedy and nothing herein shall limit the Holder’s right to pursue actual damages for any failure by the Maker to comply with the terms of this Note. Amounts set forth or provided for herein with respect to payments, conversion and the like (and the computation thereof) shall be the amounts to be received by the Holder and shall not, except as expressly provided herein, be subject to any other obligation of the Maker (or the performance thereof). The Maker acknowledges that a breach by it of its obligations hereunder will cause irreparable and material harm to the Holder and that the remedy at law for any such breach would be inadequate. Therefore, the Maker agrees that, in the event of any such breach or threatened breach, the Holder shall be entitled, in addition to all other available rights and remedies, at law or in equity, to seek equitable relief, including but not limited to an injunction restraining any such breach or threatened breach, without the necessity of pleading and proving irreparable harm or lack of an adequate remedy at law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Enforcement Expenses</w:t>
      </w:r>
      <w:r>
        <w:rPr>
          <w:rFonts w:ascii="Times New Roman;Times;Serif" w:hAnsi="Times New Roman;Times;Serif"/>
          <w:b w:val="false"/>
          <w:i w:val="false"/>
          <w:caps w:val="false"/>
          <w:smallCaps w:val="false"/>
          <w:sz w:val="20"/>
        </w:rPr>
        <w:t>. The Maker agrees to pay all costs and expenses of the Holder in exercising or enforcing its rights under this Note, including, without limitation, reasonable attorneys’ fees and expenses and the fees and expenses of any expert witnesses.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The obligations of the Maker set forth herein shall be binding upon its successors and assigns, whether or not such successors or assigns are permitted by the terms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Except for Section 3.2(e), which may not be amended, modified or waived by the Company or the Holder except as expressly set forth therein, no provision of this Note may be waived or amended except in a written instrument signed by the Company and the Holder. No waiver of any default with respect to any provision, condition or requirement of this Note shall be deemed to be a continuing waiver in the future or a waiver of any subsequent default or a waiver of any other provision, condition or requirement hereof, nor shall any delay or omission of the Holder to exercise any right hereunder in any manner impair the exercise of any such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Compliance with Securities Laws</w:t>
      </w:r>
      <w:r>
        <w:rPr>
          <w:rFonts w:ascii="Times New Roman;Times;Serif" w:hAnsi="Times New Roman;Times;Serif"/>
          <w:b w:val="false"/>
          <w:i w:val="false"/>
          <w:caps w:val="false"/>
          <w:smallCaps w:val="false"/>
          <w:sz w:val="20"/>
        </w:rPr>
        <w:t>. The Holder of this Note acknowledges that this Note is being acquired solely for the Holder’s own account and not as a nominee for any other party, and for investment, and that the Holder shall not offer, sell or otherwise dispose of this Note in violation of applicable securities Laws. This Note and any Note issued in substitution or replacement therefor shall be stamped or imprinted with a legend in substantially the form as the legend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Maker Waivers</w:t>
      </w:r>
      <w:r>
        <w:rPr>
          <w:rFonts w:ascii="Times New Roman;Times;Serif" w:hAnsi="Times New Roman;Times;Serif"/>
          <w:b w:val="false"/>
          <w:i w:val="false"/>
          <w:caps w:val="false"/>
          <w:smallCaps w:val="false"/>
          <w:sz w:val="20"/>
        </w:rPr>
        <w:t xml:space="preserve">. Except as otherwise specifically provided herein, the Maker and all others that may become liable for all or any part of the obligations evidenced by this Note, hereby waive presentment, demand, notice of nonpayment, protest and all other demands and notices in connection with the delivery, acceptance, performance and enforcement of this Note, and do hereby consent to any number of renewals of extensions of the time or payment hereof and agree that any such renewals or extensions may be made without notice to any such persons and without affecting their liability herein and do further consent to the release of any person liable hereon, all without affecting the liability of the other persons, firms or Maker liable for the payment of this Note, </w:t>
      </w:r>
      <w:r>
        <w:rPr>
          <w:rFonts w:ascii="Times New Roman;Times;Serif" w:hAnsi="Times New Roman;Times;Serif"/>
          <w:b/>
          <w:i w:val="false"/>
          <w:caps w:val="false"/>
          <w:smallCaps w:val="false"/>
          <w:sz w:val="20"/>
        </w:rPr>
        <w:t>and do hereby waive the right to a trial by jury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words and phrases used herein and not defined and which are not descriptive shall have the meanings set forth in the Purchase Agreement. For the purposes hereof, the following words and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means any additional convertible promissory note(s) that may be issued to the Holder upon the Holder lending the Maker additional funds pursuant to the Purchase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Period</w:t>
      </w:r>
      <w:r>
        <w:rPr>
          <w:rFonts w:ascii="Times New Roman;Times;Serif" w:hAnsi="Times New Roman;Times;Serif"/>
          <w:b w:val="false"/>
          <w:i w:val="false"/>
          <w:caps w:val="false"/>
          <w:smallCaps w:val="false"/>
          <w:sz w:val="20"/>
        </w:rPr>
        <w:t>” has the meaning contained in Section 3.3(a)(iv).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Alternative Conversion Price</w:t>
      </w:r>
      <w:r>
        <w:rPr>
          <w:rFonts w:ascii="Times New Roman;Times;Serif" w:hAnsi="Times New Roman;Times;Serif"/>
          <w:b w:val="false"/>
          <w:i w:val="false"/>
          <w:caps w:val="false"/>
          <w:smallCaps w:val="false"/>
          <w:sz w:val="20"/>
        </w:rPr>
        <w:t xml:space="preserve">” means 92% of the lowest daily VWAP in the seven Trading Days immediately preceding the applicable Conversion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an Event of Default has occurred, “92%” shall be replaced with “85%” for all purposes of this definition and Note,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if any Alternative Conversion Price under this definition results in a fractional amount, the fractional amount shall be rounded down to the nearest whole 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Alternative Event</w:t>
      </w:r>
      <w:r>
        <w:rPr>
          <w:rFonts w:ascii="Times New Roman;Times;Serif" w:hAnsi="Times New Roman;Times;Serif"/>
          <w:b w:val="false"/>
          <w:i w:val="false"/>
          <w:caps w:val="false"/>
          <w:smallCaps w:val="false"/>
          <w:sz w:val="20"/>
        </w:rPr>
        <w:t>” has the meaning contained in Section 3.1(d).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Applicable Conversion Price</w:t>
      </w:r>
      <w:r>
        <w:rPr>
          <w:rFonts w:ascii="Times New Roman;Times;Serif" w:hAnsi="Times New Roman;Times;Serif"/>
          <w:b w:val="false"/>
          <w:i w:val="false"/>
          <w:caps w:val="false"/>
          <w:smallCaps w:val="false"/>
          <w:sz w:val="20"/>
        </w:rPr>
        <w:t>” has the meaning contained in Section 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Applicable Price</w:t>
      </w:r>
      <w:r>
        <w:rPr>
          <w:rFonts w:ascii="Times New Roman;Times;Serif" w:hAnsi="Times New Roman;Times;Serif"/>
          <w:b w:val="false"/>
          <w:i w:val="false"/>
          <w:caps w:val="false"/>
          <w:smallCaps w:val="false"/>
          <w:sz w:val="20"/>
        </w:rPr>
        <w:t>” has the meaning contained in Section 3.3(a)(iv).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 xml:space="preserve">means, collectively, the following Persons and entities: (i) any investment vehicle, including, any funds, feeder funds or managed accounts, currently, or from time to time after the Original Issuance Date, directly or indirectly managed or advised by the Holder’s investment manager or any of its Affiliates or principals, (ii) any direct or indirect </w:t>
      </w:r>
      <w:r>
        <w:rPr>
          <w:rFonts w:ascii="Times New Roman;Times;Serif" w:hAnsi="Times New Roman;Times;Serif"/>
          <w:b w:val="false"/>
          <w:i w:val="false"/>
          <w:caps w:val="false"/>
          <w:smallCaps w:val="false"/>
          <w:sz w:val="20"/>
        </w:rPr>
        <w:t xml:space="preserve">Affiliates </w:t>
      </w:r>
      <w:r>
        <w:rPr>
          <w:rFonts w:ascii="Times New Roman;Times;Serif" w:hAnsi="Times New Roman;Times;Serif"/>
          <w:b w:val="false"/>
          <w:i w:val="false"/>
          <w:caps w:val="false"/>
          <w:smallCaps w:val="false"/>
          <w:color w:val="212121"/>
          <w:sz w:val="20"/>
        </w:rPr>
        <w:t xml:space="preserve">of the Holder or any of the foregoing, (iii) any Person acting or who could be deemed to be acting as a Group </w:t>
      </w:r>
      <w:r>
        <w:rPr>
          <w:rFonts w:ascii="Times New Roman;Times;Serif" w:hAnsi="Times New Roman;Times;Serif"/>
          <w:b w:val="false"/>
          <w:i w:val="false"/>
          <w:caps w:val="false"/>
          <w:smallCaps w:val="false"/>
          <w:sz w:val="20"/>
        </w:rPr>
        <w:t xml:space="preserve">together </w:t>
      </w:r>
      <w:r>
        <w:rPr>
          <w:rFonts w:ascii="Times New Roman;Times;Serif" w:hAnsi="Times New Roman;Times;Serif"/>
          <w:b w:val="false"/>
          <w:i w:val="false"/>
          <w:caps w:val="false"/>
          <w:smallCaps w:val="false"/>
          <w:color w:val="212121"/>
          <w:sz w:val="20"/>
        </w:rPr>
        <w:t>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has the meaning contained in Section 3.2(e).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has the meaning contained in Section 3.2(c).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Buy-In Price</w:t>
      </w:r>
      <w:r>
        <w:rPr>
          <w:rFonts w:ascii="Times New Roman;Times;Serif" w:hAnsi="Times New Roman;Times;Serif"/>
          <w:b w:val="false"/>
          <w:i w:val="false"/>
          <w:caps w:val="false"/>
          <w:smallCaps w:val="false"/>
          <w:sz w:val="20"/>
        </w:rPr>
        <w:t>” has the meaning contained in Section 3.2(c).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Buy-In Payment Amount</w:t>
      </w:r>
      <w:r>
        <w:rPr>
          <w:rFonts w:ascii="Times New Roman;Times;Serif" w:hAnsi="Times New Roman;Times;Serif"/>
          <w:b w:val="false"/>
          <w:i w:val="false"/>
          <w:caps w:val="false"/>
          <w:smallCaps w:val="false"/>
          <w:sz w:val="20"/>
        </w:rPr>
        <w:t>” has the meaning contained in Section 3.2(c).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color w:val="212121"/>
          <w:sz w:val="20"/>
        </w:rPr>
        <w:t>“</w:t>
      </w:r>
      <w:r>
        <w:rPr>
          <w:rFonts w:ascii="Times New Roman;Times;Serif" w:hAnsi="Times New Roman;Times;Serif"/>
          <w:b w:val="false"/>
          <w:i w:val="false"/>
          <w:caps w:val="false"/>
          <w:smallCaps w:val="false"/>
          <w:color w:val="212121"/>
          <w:sz w:val="20"/>
          <w:u w:val="single"/>
        </w:rPr>
        <w:t>Charter</w:t>
      </w:r>
      <w:r>
        <w:rPr>
          <w:rFonts w:ascii="Times New Roman;Times;Serif" w:hAnsi="Times New Roman;Times;Serif"/>
          <w:b w:val="false"/>
          <w:i w:val="false"/>
          <w:caps w:val="false"/>
          <w:smallCaps w:val="false"/>
          <w:color w:val="212121"/>
          <w:sz w:val="20"/>
        </w:rPr>
        <w:t>” means the memorandum and articles of association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COC Repayment Price</w:t>
      </w:r>
      <w:r>
        <w:rPr>
          <w:rFonts w:ascii="Times New Roman;Times;Serif" w:hAnsi="Times New Roman;Times;Serif"/>
          <w:b w:val="false"/>
          <w:i w:val="false"/>
          <w:caps w:val="false"/>
          <w:smallCaps w:val="false"/>
          <w:sz w:val="20"/>
        </w:rPr>
        <w:t>” has the meaning contained in Section 3.4(c).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have the meaning as defined in the Purchase Agreement, and for the purposes of this Note, shall also refer to Conversion Shares unless otherwise apparent from the context.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contained on page 1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has the meaning contained in Section 3.1(a).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has the meaning contained in Section 3.1(a).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Conversion Failure</w:t>
      </w:r>
      <w:r>
        <w:rPr>
          <w:rFonts w:ascii="Times New Roman;Times;Serif" w:hAnsi="Times New Roman;Times;Serif"/>
          <w:b w:val="false"/>
          <w:i w:val="false"/>
          <w:caps w:val="false"/>
          <w:smallCaps w:val="false"/>
          <w:sz w:val="20"/>
        </w:rPr>
        <w:t>” has the meaning contained in Section 3.2(c).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Conversion Notice</w:t>
      </w:r>
      <w:r>
        <w:rPr>
          <w:rFonts w:ascii="Times New Roman;Times;Serif" w:hAnsi="Times New Roman;Times;Serif"/>
          <w:b w:val="false"/>
          <w:i w:val="false"/>
          <w:caps w:val="false"/>
          <w:smallCaps w:val="false"/>
          <w:sz w:val="20"/>
        </w:rPr>
        <w:t>” has the meaning contained in Section 3.1(a).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has the meaning contained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has the meaning contained in Section 3.2(a). In this Note, the use of Common Stock shall also refer to Conversion Shares unless otherwise apparent from the context.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Convertible Securities</w:t>
      </w:r>
      <w:r>
        <w:rPr>
          <w:rFonts w:ascii="Times New Roman;Times;Serif" w:hAnsi="Times New Roman;Times;Serif"/>
          <w:b w:val="false"/>
          <w:i w:val="false"/>
          <w:caps w:val="false"/>
          <w:smallCaps w:val="false"/>
          <w:sz w:val="20"/>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Corporate Event</w:t>
      </w:r>
      <w:r>
        <w:rPr>
          <w:rFonts w:ascii="Times New Roman;Times;Serif" w:hAnsi="Times New Roman;Times;Serif"/>
          <w:b w:val="false"/>
          <w:i w:val="false"/>
          <w:caps w:val="false"/>
          <w:smallCaps w:val="false"/>
          <w:sz w:val="20"/>
        </w:rPr>
        <w:t>” has the meaning contained in Section 3.4(b).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Default Interest</w:t>
      </w:r>
      <w:r>
        <w:rPr>
          <w:rFonts w:ascii="Times New Roman;Times;Serif" w:hAnsi="Times New Roman;Times;Serif"/>
          <w:b w:val="false"/>
          <w:i w:val="false"/>
          <w:caps w:val="false"/>
          <w:smallCaps w:val="false"/>
          <w:sz w:val="20"/>
        </w:rPr>
        <w:t>” has the meaning contained in Section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Default Interest Payment Date</w:t>
      </w:r>
      <w:r>
        <w:rPr>
          <w:rFonts w:ascii="Times New Roman;Times;Serif" w:hAnsi="Times New Roman;Times;Serif"/>
          <w:b w:val="false"/>
          <w:i w:val="false"/>
          <w:caps w:val="false"/>
          <w:smallCaps w:val="false"/>
          <w:sz w:val="20"/>
        </w:rPr>
        <w:t>” has the meaning contained in Section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has the meaning contained in Section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has the meaning contained in Section 3.3(a)(iv).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Dilutive Issuance Price</w:t>
      </w:r>
      <w:r>
        <w:rPr>
          <w:rFonts w:ascii="Times New Roman;Times;Serif" w:hAnsi="Times New Roman;Times;Serif"/>
          <w:b w:val="false"/>
          <w:i w:val="false"/>
          <w:caps w:val="false"/>
          <w:smallCaps w:val="false"/>
          <w:sz w:val="20"/>
        </w:rPr>
        <w:t>” has the meaning contained in Section 3.3(a)(iv).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has the meaning contained in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Equity Conditions</w:t>
      </w:r>
      <w:r>
        <w:rPr>
          <w:rFonts w:ascii="Times New Roman;Times;Serif" w:hAnsi="Times New Roman;Times;Serif"/>
          <w:b w:val="false"/>
          <w:i w:val="false"/>
          <w:caps w:val="false"/>
          <w:smallCaps w:val="false"/>
          <w:sz w:val="20"/>
        </w:rPr>
        <w:t>” means, as of any given date of determination, all of the following have been met: (a) the Company has complied with all of the conversion and other provisions of the Note and related Transaction Documents; (b) the Company shall be current in filing required reports with the SEC and there is no pending extension under Rule 12b-25 of the Exchange Act; (c) the Note shall not be in default and an Event of Default shall not have otherwise occurred; (d) the Common Stock has not been subject to a trading suspension by the SEC or the Trading Market or been delisted by the Trading Market nor shall delisting or suspension by the Trading Market have been threatened or reasonably likely to occur or pending as evidenced by a writing issued by the Trading Market, nor shall the Company have received notice from its Trading Market of delisting or non-compliance with the rules, regulations and continued listing standards thereof even if subject to cure; (e) the Company’s Common Stock must be DWAC Eligible; (f) the Common Stock shall have not been subject to a “chill” or similar event imposed by The Depository Trust Co.; (g) the Company has delivered all Conversion Shares in connection with prior conversions of the Note; (h) the Company has complied with all Transaction Documents in all respects; (i) the Company shall not have engaged in the sale of any securities under Section 3(a)(10) of the Securities Act; (j) the Holder shall not be in possession of any material, non-public information provided to any of them by the Company, any of its Subsidiaries or any of their respective affiliates, employees, officers, representatives, agents or attorneys (except, with respect to the closing under the Purchase Agreement, where such material, non-public information that will be disclosed to the public no later than 9:00 AM New York, N.Y. time on the Trading Day immediately following the date of the closing); (k) the Registration Statement covering the Underlying Shares, has been filed and declared effective within the timeframe provided for in the Agreement and remains effective, and the Prospectus contained in such Registration Statement complies with Sections 5(b) and 10 of the Securities Act (and the Company shall have no knowledge of any fact that would reasonably be expected to cause such Prospectus thereunder to not be true and correct or to contain any untrue statement of a material fact or to omit to state a material fact required to be stated therein or necessary to make the statements therein not misleading); (l) any shares of Common Stock underlying the Note to be issued in connection with the event requiring determination may be issued in full without violating the rules or regulations of the Trading Market; (m) the Company has available shares of Common Stock as necessary to issue all Underlying Shares; (n) no bona fide material dispute shall exist by and between any of holder of the Note and the Company, the Trading Market and/or the Financial Industry Regulatory Authority with respect to any term or provision of any Note or any other Transaction Document; (o) the Company shall be in compliance with all SEC regulations and rules and all listing requirements of the Trading Market; and (p) at least $45,000 of market value of Common Stock shall have traded per day in the previous 10 Trading Days before the Closing Date; and (q)</w:t>
      </w:r>
      <w:r>
        <w:rPr>
          <w:rFonts w:ascii="Times New Roman;Times;Serif" w:hAnsi="Times New Roman;Times;Serif"/>
          <w:b w:val="false"/>
          <w:i w:val="false"/>
          <w:caps w:val="false"/>
          <w:smallCaps w:val="false"/>
          <w:color w:val="202020"/>
          <w:sz w:val="20"/>
        </w:rPr>
        <w:t> with respect to any Closing, no Note shall be in default and an Event of Default shall not have otherwise occurred, and (r) the Holder’s purchase, acquisition or ownership of securities of the Company shall not be prohibited by any applicable Law, including any rule or regulation of the Trading Market for the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Event Market Price</w:t>
      </w:r>
      <w:r>
        <w:rPr>
          <w:rFonts w:ascii="Times New Roman;Times;Serif" w:hAnsi="Times New Roman;Times;Serif"/>
          <w:b w:val="false"/>
          <w:i w:val="false"/>
          <w:caps w:val="false"/>
          <w:smallCaps w:val="false"/>
          <w:sz w:val="20"/>
        </w:rPr>
        <w:t>” has the meaning contained in Section 3.3(a)(i).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contained in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has the meaning contained in Section 3.2(e).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FAST</w:t>
      </w:r>
      <w:r>
        <w:rPr>
          <w:rFonts w:ascii="Times New Roman;Times;Serif" w:hAnsi="Times New Roman;Times;Serif"/>
          <w:b w:val="false"/>
          <w:i w:val="false"/>
          <w:caps w:val="false"/>
          <w:smallCaps w:val="false"/>
          <w:sz w:val="20"/>
        </w:rPr>
        <w:t>” has the meaning contained in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Fixed Conversion Price</w:t>
      </w:r>
      <w:r>
        <w:rPr>
          <w:rFonts w:ascii="Times New Roman;Times;Serif" w:hAnsi="Times New Roman;Times;Serif"/>
          <w:b w:val="false"/>
          <w:i w:val="false"/>
          <w:caps w:val="false"/>
          <w:smallCaps w:val="false"/>
          <w:sz w:val="20"/>
        </w:rPr>
        <w:t>” has the meaning contained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Floor Price</w:t>
      </w:r>
      <w:r>
        <w:rPr>
          <w:rFonts w:ascii="Times New Roman;Times;Serif" w:hAnsi="Times New Roman;Times;Serif"/>
          <w:b w:val="false"/>
          <w:i w:val="false"/>
          <w:caps w:val="false"/>
          <w:smallCaps w:val="false"/>
          <w:sz w:val="20"/>
        </w:rPr>
        <w:t>” means 20% of the Minimum Price under Nasdaq Rules. Notwithstanding the foregoing, effective upon any subsequent closing under the Purchase Agreement or any other agreement between the Company and the Holder or a successor or assign thereof pursuant to which any Additional Note(s) are issued, the Floor Price shall be decreased, but in no event increased, to equal the lowest 20% of the closing price of the Common Stock immediately prior to the date of such closing. For the avoidance of doubt, the Floor Price shall in no circumstances fall below the par value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Person, or (ii) sell, assign, transfer, convey or otherwise dispose of all or substantially all of the properties or assets of the Company or any of its “significant subsidiaries” (as defined in Rule 1-02 of Regulation S-X) to one or more Persons, or (iii) make, or allow one or more Persons to make, or allow the Company to be subject to or have its Common Stock be subject to or party to one or more Persons making, a purchase, tender or exchange offer that is accepted by the holders of at least either (x) 50% of the outstanding shares of Common Stock, (y) 50% of the outstanding shares of Common Stock calculated as if any shares of Common Stock held by all Persons making or party to, or Affiliated with any Person or group of Persons making or party to, such purchase, tender or exchange offer were not outstanding; or (z) such number of shares of Common Stock such that all Persons making or party to, or Affiliated with any Person making or party to, such purchase, tender or exchange offer, become collectively the beneficial owners (as defined in Rule 13d-3 under the Exchange Act) of at least 50% of the outstanding shares of Common Stock, or (iv) consummate a stock or share purchase agreement or other business combination (including, without limitation, a reorganization, recapitalization, spin-off or scheme of arrangement) with one or more Persons whereby all such Persons, individually or in the aggregate, acquire, either (x) at least 50% of the outstanding shares of Common Stock, (y) at least 50% of the outstanding shares of Common Stock calculated as if any shares of Common Stock held by all the Persons making or party to, or Affiliated with any Person making or party to, such stock purchase agreement or other business combination were not outstanding; or (z) such number of shares of Common Stock such that the Persons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Person individually or Persons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Persons as of the date of this Note calculated as if any shares of Common Stock held by all such Persons were not outstanding, or (z) a percentage of the aggregate ordinary voting power represented by issued and outstanding shares of Common Stock or other equity securities of the Company sufficient to allow such Persons to effect a statutory short form merger or other transaction requiring other shareholders of the Company to surrender their shares of Common Stock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or any foreign government or any political subdivision of either government,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has the meaning contained on page 1 of this Note and includes any Person who has purchased a Note or portion of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val="false"/>
          <w:caps w:val="false"/>
          <w:smallCaps w:val="false"/>
          <w:sz w:val="20"/>
          <w:u w:val="single"/>
        </w:rPr>
        <w:t>Inability to Fully Convert Notice</w:t>
      </w:r>
      <w:r>
        <w:rPr>
          <w:rFonts w:ascii="Times New Roman;Times;Serif" w:hAnsi="Times New Roman;Times;Serif"/>
          <w:b w:val="false"/>
          <w:i w:val="false"/>
          <w:caps w:val="false"/>
          <w:smallCaps w:val="false"/>
          <w:sz w:val="20"/>
        </w:rPr>
        <w:t>” has the meaning contained in Section 3.5(b).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contained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has the meaning contained in Section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has the meaning contained in Section 4.1(b).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val="false"/>
          <w:i w:val="false"/>
          <w:caps w:val="false"/>
          <w:smallCaps w:val="false"/>
          <w:sz w:val="20"/>
          <w:u w:val="single"/>
        </w:rPr>
        <w:t>Limited Period</w:t>
      </w:r>
      <w:r>
        <w:rPr>
          <w:rFonts w:ascii="Times New Roman;Times;Serif" w:hAnsi="Times New Roman;Times;Serif"/>
          <w:b w:val="false"/>
          <w:i w:val="false"/>
          <w:caps w:val="false"/>
          <w:smallCaps w:val="false"/>
          <w:sz w:val="20"/>
        </w:rPr>
        <w:t>” has the meaning contained in Section 3.1(d).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val="false"/>
          <w:i w:val="false"/>
          <w:caps w:val="false"/>
          <w:smallCaps w:val="false"/>
          <w:sz w:val="20"/>
          <w:u w:val="single"/>
        </w:rPr>
        <w:t>Liquidation Event</w:t>
      </w:r>
      <w:r>
        <w:rPr>
          <w:rFonts w:ascii="Times New Roman;Times;Serif" w:hAnsi="Times New Roman;Times;Serif"/>
          <w:b w:val="false"/>
          <w:i w:val="false"/>
          <w:caps w:val="false"/>
          <w:smallCaps w:val="false"/>
          <w:sz w:val="20"/>
        </w:rPr>
        <w:t>” has the meaning contained in Section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Maker</w:t>
      </w:r>
      <w:r>
        <w:rPr>
          <w:rFonts w:ascii="Times New Roman;Times;Serif" w:hAnsi="Times New Roman;Times;Serif"/>
          <w:b w:val="false"/>
          <w:i w:val="false"/>
          <w:caps w:val="false"/>
          <w:smallCaps w:val="false"/>
          <w:sz w:val="20"/>
        </w:rPr>
        <w:t>” has the meaning contained on page 1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val="false"/>
          <w:i w:val="false"/>
          <w:caps w:val="false"/>
          <w:smallCaps w:val="false"/>
          <w:sz w:val="20"/>
          <w:u w:val="single"/>
        </w:rPr>
        <w:t>Mandatory Default Amount</w:t>
      </w:r>
      <w:r>
        <w:rPr>
          <w:rFonts w:ascii="Times New Roman;Times;Serif" w:hAnsi="Times New Roman;Times;Serif"/>
          <w:b w:val="false"/>
          <w:i w:val="false"/>
          <w:caps w:val="false"/>
          <w:smallCaps w:val="false"/>
          <w:sz w:val="20"/>
        </w:rPr>
        <w:t>” means an amount equal to 115% of the sum of (x) the outstanding Principal of this Note on the date on which the first Event of Default has occurred hereunder and (y) any accrued and unpaid Interest thereon,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val="false"/>
          <w:i w:val="false"/>
          <w:caps w:val="false"/>
          <w:smallCaps w:val="false"/>
          <w:sz w:val="20"/>
          <w:u w:val="single"/>
        </w:rPr>
        <w:t>Mandatory Prepayment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Mandatory Prepayment Price</w:t>
      </w:r>
      <w:r>
        <w:rPr>
          <w:rFonts w:ascii="Times New Roman;Times;Serif" w:hAnsi="Times New Roman;Times;Serif"/>
          <w:b w:val="false"/>
          <w:i w:val="false"/>
          <w:caps w:val="false"/>
          <w:smallCaps w:val="false"/>
          <w:sz w:val="20"/>
        </w:rPr>
        <w:t>” have the meaning contained in Section 3.5(a)(i).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val="false"/>
          <w:i w:val="false"/>
          <w:caps w:val="false"/>
          <w:smallCaps w:val="false"/>
          <w:sz w:val="20"/>
          <w:u w:val="single"/>
        </w:rPr>
        <w:t>Market Price</w:t>
      </w:r>
      <w:r>
        <w:rPr>
          <w:rFonts w:ascii="Times New Roman;Times;Serif" w:hAnsi="Times New Roman;Times;Serif"/>
          <w:b w:val="false"/>
          <w:i w:val="false"/>
          <w:caps w:val="false"/>
          <w:smallCaps w:val="false"/>
          <w:sz w:val="20"/>
        </w:rPr>
        <w:t>” means the average of the two lowest closing bid prices of the Common Stock on the Trading Market for the 10 consecutive Trading Days ending on the Trading Day that is immediately prior to the applicable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has the meaning contained on page 1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has the meaning contained on page 1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val="false"/>
          <w:i w:val="false"/>
          <w:caps w:val="false"/>
          <w:smallCaps w:val="false"/>
          <w:sz w:val="20"/>
          <w:u w:val="single"/>
        </w:rPr>
        <w:t>Notice in Response to Inability to Convert</w:t>
      </w:r>
      <w:r>
        <w:rPr>
          <w:rFonts w:ascii="Times New Roman;Times;Serif" w:hAnsi="Times New Roman;Times;Serif"/>
          <w:b w:val="false"/>
          <w:i w:val="false"/>
          <w:caps w:val="false"/>
          <w:smallCaps w:val="false"/>
          <w:sz w:val="20"/>
        </w:rPr>
        <w:t>” has the meaning contained in Section 3.5(b).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w:t>
      </w:r>
      <w:r>
        <w:rPr>
          <w:rFonts w:ascii="Times New Roman;Times;Serif" w:hAnsi="Times New Roman;Times;Serif"/>
          <w:b w:val="false"/>
          <w:i w:val="false"/>
          <w:caps w:val="false"/>
          <w:smallCaps w:val="false"/>
          <w:sz w:val="20"/>
          <w:u w:val="single"/>
        </w:rPr>
        <w:t>Notice of Change of Control</w:t>
      </w:r>
      <w:r>
        <w:rPr>
          <w:rFonts w:ascii="Times New Roman;Times;Serif" w:hAnsi="Times New Roman;Times;Serif"/>
          <w:b w:val="false"/>
          <w:i w:val="false"/>
          <w:caps w:val="false"/>
          <w:smallCaps w:val="false"/>
          <w:sz w:val="20"/>
        </w:rPr>
        <w:t>” has the meaning contained in Section 3.4(c).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w:t>
      </w:r>
      <w:r>
        <w:rPr>
          <w:rFonts w:ascii="Times New Roman;Times;Serif" w:hAnsi="Times New Roman;Times;Serif"/>
          <w:b w:val="false"/>
          <w:i w:val="false"/>
          <w:caps w:val="false"/>
          <w:smallCaps w:val="false"/>
          <w:sz w:val="20"/>
          <w:u w:val="single"/>
        </w:rPr>
        <w:t>Notice of Prepayment at Option of Holder Upon Change of Control</w:t>
      </w:r>
      <w:r>
        <w:rPr>
          <w:rFonts w:ascii="Times New Roman;Times;Serif" w:hAnsi="Times New Roman;Times;Serif"/>
          <w:b w:val="false"/>
          <w:i w:val="false"/>
          <w:caps w:val="false"/>
          <w:smallCaps w:val="false"/>
          <w:sz w:val="20"/>
        </w:rPr>
        <w:t>” has the meaning contained in Section 3.4(c).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means the Indebtedness evidenced by this Note and any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(i) Liens under the Transaction Documents, (ii) any lien for taxes not yet due or delinquent or being contested in good faith by appropriate proceedings for which adequate reserves have been established in accordance with GAAP, (iii) any statutory Lien arising in the ordinary course of business by operation of Law with respect to a liability that is not yet due or delinquent, (iv) any Lien created by operation of Law, such as materialmen’s Liens, mechanics’ Liens and other similar Liens, arising in the ordinary course of business with respect to a liability that is not yet due or delinquent or that are being contested in good faith by appropriate proceedings, and (v) Liens arising from judgments, decrees or attachments in circumstances not constituting an Event of Default under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Primary Security</w:t>
      </w:r>
      <w:r>
        <w:rPr>
          <w:rFonts w:ascii="Times New Roman;Times;Serif" w:hAnsi="Times New Roman;Times;Serif"/>
          <w:b w:val="false"/>
          <w:i w:val="false"/>
          <w:caps w:val="false"/>
          <w:smallCaps w:val="false"/>
          <w:sz w:val="20"/>
        </w:rPr>
        <w:t>” has the meaning contained in Section 3.3(a)(iv).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          “</w:t>
      </w:r>
      <w:r>
        <w:rPr>
          <w:rFonts w:ascii="Times New Roman;Times;Serif" w:hAnsi="Times New Roman;Times;Serif"/>
          <w:b w:val="false"/>
          <w:i w:val="false"/>
          <w:caps w:val="false"/>
          <w:smallCaps w:val="false"/>
          <w:sz w:val="20"/>
          <w:u w:val="single"/>
        </w:rPr>
        <w:t>Principal</w:t>
      </w:r>
      <w:r>
        <w:rPr>
          <w:rFonts w:ascii="Times New Roman;Times;Serif" w:hAnsi="Times New Roman;Times;Serif"/>
          <w:b w:val="false"/>
          <w:i w:val="false"/>
          <w:caps w:val="false"/>
          <w:smallCaps w:val="false"/>
          <w:sz w:val="20"/>
        </w:rPr>
        <w:t>” has the meaning contained on page 1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has the meaning contained in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has the meaning contained in Section 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      “</w:t>
      </w:r>
      <w:r>
        <w:rPr>
          <w:rFonts w:ascii="Times New Roman;Times;Serif" w:hAnsi="Times New Roman;Times;Serif"/>
          <w:b w:val="false"/>
          <w:i w:val="false"/>
          <w:caps w:val="false"/>
          <w:smallCaps w:val="false"/>
          <w:sz w:val="20"/>
          <w:u w:val="single"/>
        </w:rPr>
        <w:t>Reported Outstanding Share Number</w:t>
      </w:r>
      <w:r>
        <w:rPr>
          <w:rFonts w:ascii="Times New Roman;Times;Serif" w:hAnsi="Times New Roman;Times;Serif"/>
          <w:b w:val="false"/>
          <w:i w:val="false"/>
          <w:caps w:val="false"/>
          <w:smallCaps w:val="false"/>
          <w:sz w:val="20"/>
        </w:rPr>
        <w:t>” has the meaning contained in Section 3.2(e).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(nnn)       “</w:t>
      </w:r>
      <w:r>
        <w:rPr>
          <w:rFonts w:ascii="Times New Roman;Times;Serif" w:hAnsi="Times New Roman;Times;Serif"/>
          <w:b w:val="false"/>
          <w:i w:val="false"/>
          <w:caps w:val="false"/>
          <w:smallCaps w:val="false"/>
          <w:sz w:val="20"/>
          <w:u w:val="single"/>
        </w:rPr>
        <w:t>Required Minimum</w:t>
      </w:r>
      <w:r>
        <w:rPr>
          <w:rFonts w:ascii="Times New Roman;Times;Serif" w:hAnsi="Times New Roman;Times;Serif"/>
          <w:b w:val="false"/>
          <w:i w:val="false"/>
          <w:caps w:val="false"/>
          <w:smallCaps w:val="false"/>
          <w:sz w:val="20"/>
        </w:rPr>
        <w:t>” shall have the meaning contained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 or the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(ppp)       “</w:t>
      </w:r>
      <w:r>
        <w:rPr>
          <w:rFonts w:ascii="Times New Roman;Times;Serif" w:hAnsi="Times New Roman;Times;Serif"/>
          <w:b w:val="false"/>
          <w:i w:val="false"/>
          <w:caps w:val="false"/>
          <w:smallCaps w:val="false"/>
          <w:sz w:val="20"/>
          <w:u w:val="single"/>
        </w:rPr>
        <w:t>Secondary Securities</w:t>
      </w:r>
      <w:r>
        <w:rPr>
          <w:rFonts w:ascii="Times New Roman;Times;Serif" w:hAnsi="Times New Roman;Times;Serif"/>
          <w:b w:val="false"/>
          <w:i w:val="false"/>
          <w:caps w:val="false"/>
          <w:smallCaps w:val="false"/>
          <w:sz w:val="20"/>
        </w:rPr>
        <w:t>” has the meaning contained in Section 3.3(a)(iv).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(qqq)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(rrr)          “</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has the meaning contained in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(sss)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has the meaning contained in Section 2.1(f).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(ttt)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have the meaning contained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(uuu)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has the meaning contained in Section 3.4(a).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(vvv)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shares of Common Stock are traded on a Trading Market for at least 4.5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     “</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has the meaning contained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has the meaning contained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(yyy)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has the meaning contained in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(zzz)         “</w:t>
      </w:r>
      <w:r>
        <w:rPr>
          <w:rFonts w:ascii="Times New Roman;Times;Serif" w:hAnsi="Times New Roman;Times;Serif"/>
          <w:b w:val="false"/>
          <w:i w:val="false"/>
          <w:caps w:val="false"/>
          <w:smallCaps w:val="false"/>
          <w:sz w:val="20"/>
          <w:u w:val="single"/>
        </w:rPr>
        <w:t>Underlying Shares</w:t>
      </w:r>
      <w:r>
        <w:rPr>
          <w:rFonts w:ascii="Times New Roman;Times;Serif" w:hAnsi="Times New Roman;Times;Serif"/>
          <w:b w:val="false"/>
          <w:i w:val="false"/>
          <w:caps w:val="false"/>
          <w:smallCaps w:val="false"/>
          <w:sz w:val="20"/>
        </w:rPr>
        <w:t>” has the meaning contained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(aaaa)      “</w:t>
      </w:r>
      <w:r>
        <w:rPr>
          <w:rFonts w:ascii="Times New Roman;Times;Serif" w:hAnsi="Times New Roman;Times;Serif"/>
          <w:b w:val="false"/>
          <w:i w:val="false"/>
          <w:caps w:val="false"/>
          <w:smallCaps w:val="false"/>
          <w:sz w:val="20"/>
          <w:u w:val="single"/>
        </w:rPr>
        <w:t>Unit</w:t>
      </w:r>
      <w:r>
        <w:rPr>
          <w:rFonts w:ascii="Times New Roman;Times;Serif" w:hAnsi="Times New Roman;Times;Serif"/>
          <w:b w:val="false"/>
          <w:i w:val="false"/>
          <w:caps w:val="false"/>
          <w:smallCaps w:val="false"/>
          <w:sz w:val="20"/>
        </w:rPr>
        <w:t>” has the meaning contained in Section 3.3(a)(iv).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     “</w:t>
      </w:r>
      <w:r>
        <w:rPr>
          <w:rFonts w:ascii="Times New Roman;Times;Serif" w:hAnsi="Times New Roman;Times;Serif"/>
          <w:b w:val="false"/>
          <w:i w:val="false"/>
          <w:caps w:val="false"/>
          <w:smallCaps w:val="false"/>
          <w:sz w:val="20"/>
          <w:u w:val="single"/>
        </w:rPr>
        <w:t>Variable Rate Transactions</w:t>
      </w:r>
      <w:r>
        <w:rPr>
          <w:rFonts w:ascii="Times New Roman;Times;Serif" w:hAnsi="Times New Roman;Times;Serif"/>
          <w:b w:val="false"/>
          <w:i w:val="false"/>
          <w:caps w:val="false"/>
          <w:smallCaps w:val="false"/>
          <w:sz w:val="20"/>
        </w:rPr>
        <w:t>” has the meaning contained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(cccc)     “</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the Trading Market, the daily volume weighted average price of the Common Stock for such date (or the nearest preceding date) on the Trading Market on which the Common Stock is then listed or quoted as reported by Bloomberg L.P. (based on a Trading Day from 9:30 a.m. (New York, N.Y. time) to 4:02 p.m. (New York, N.Y. time)), (b) if the Common Stock is traded on OTCQB or OTCQX, the volume weighted average sales price of the Common Stock for such date (or the nearest preceding date) on OTCQB or OTCQX as applicable, (c) if the Common Stock is not then listed or quoted for trading on OTCQB or OTCQX and if prices for the Common Stock is then reported in the “Pink Open Market” or successor operated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broker-dealer selected in good faith by the Holder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(dddd)    $ means United States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282828"/>
          <w:sz w:val="20"/>
        </w:rPr>
      </w:pPr>
      <w:r>
        <w:rPr>
          <w:rFonts w:ascii="Times New Roman;Times;Serif" w:hAnsi="Times New Roman;Times;Serif"/>
          <w:b w:val="false"/>
          <w:i w:val="false"/>
          <w:caps w:val="false"/>
          <w:smallCaps w:val="false"/>
          <w:color w:val="282828"/>
          <w:sz w:val="20"/>
        </w:rPr>
        <w:t>IN WITNESS WHEREOF, the Maker has caused this Note to be duly executed by its duly authorized officer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3844" w:type="dxa"/>
        <w:jc w:val="left"/>
        <w:tblInd w:w="0" w:type="dxa"/>
        <w:tblLayout w:type="fixed"/>
        <w:tblCellMar>
          <w:top w:w="0" w:type="dxa"/>
          <w:left w:w="0" w:type="dxa"/>
          <w:bottom w:w="0" w:type="dxa"/>
          <w:right w:w="0" w:type="dxa"/>
        </w:tblCellMar>
      </w:tblPr>
      <w:tblGrid>
        <w:gridCol w:w="75"/>
        <w:gridCol w:w="2099"/>
        <w:gridCol w:w="1670"/>
      </w:tblGrid>
      <w:tr>
        <w:trPr/>
        <w:tc>
          <w:tcPr>
            <w:tcW w:w="7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tc>
      </w:tr>
      <w:tr>
        <w:trPr/>
        <w:tc>
          <w:tcPr>
            <w:tcW w:w="7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Baird Medical Investment Holdings Limited</w:t>
            </w:r>
          </w:p>
        </w:tc>
      </w:tr>
      <w:tr>
        <w:trPr/>
        <w:tc>
          <w:tcPr>
            <w:tcW w:w="7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99"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82828"/>
                <w:sz w:val="20"/>
              </w:rPr>
            </w:pPr>
            <w:r>
              <w:rPr>
                <w:rFonts w:ascii="Times New Roman;Times;Serif" w:hAnsi="Times New Roman;Times;Serif"/>
                <w:b w:val="false"/>
                <w:i w:val="false"/>
                <w:caps w:val="false"/>
                <w:smallCaps w:val="false"/>
                <w:color w:val="282828"/>
                <w:sz w:val="20"/>
              </w:rPr>
              <w:t>By:</w:t>
            </w:r>
          </w:p>
        </w:tc>
        <w:tc>
          <w:tcPr>
            <w:tcW w:w="1670" w:type="dxa"/>
            <w:tcBorders>
              <w:bottom w:val="single" w:sz="8" w:space="0" w:color="000000"/>
            </w:tcBorders>
            <w:tcMar>
              <w:bottom w:w="28" w:type="dxa"/>
            </w:tcMar>
            <w:vAlign w:val="center"/>
          </w:tcPr>
          <w:p>
            <w:pPr>
              <w:pStyle w:val="TableContents"/>
              <w:bidi w:val="0"/>
              <w:spacing w:before="0" w:after="283"/>
              <w:jc w:val="left"/>
              <w:rPr>
                <w:caps w:val="false"/>
                <w:smallCaps w:val="false"/>
                <w:color w:val="282828"/>
              </w:rPr>
            </w:pPr>
            <w:r>
              <w:rPr>
                <w:caps w:val="false"/>
                <w:smallCaps w:val="false"/>
                <w:color w:val="282828"/>
              </w:rPr>
              <w:t>    </w:t>
            </w:r>
          </w:p>
        </w:tc>
      </w:tr>
      <w:tr>
        <w:trPr/>
        <w:tc>
          <w:tcPr>
            <w:tcW w:w="7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282828"/>
                <w:sz w:val="20"/>
              </w:rPr>
            </w:pPr>
            <w:r>
              <w:rPr>
                <w:rFonts w:ascii="Times New Roman;Times;Serif" w:hAnsi="Times New Roman;Times;Serif"/>
                <w:b w:val="false"/>
                <w:i w:val="false"/>
                <w:caps w:val="false"/>
                <w:smallCaps w:val="false"/>
                <w:color w:val="282828"/>
                <w:sz w:val="20"/>
              </w:rPr>
              <w:t>Name:</w:t>
            </w:r>
          </w:p>
        </w:tc>
      </w:tr>
      <w:tr>
        <w:trPr/>
        <w:tc>
          <w:tcPr>
            <w:tcW w:w="7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282828"/>
                <w:sz w:val="20"/>
              </w:rPr>
            </w:pPr>
            <w:r>
              <w:rPr>
                <w:rFonts w:ascii="Times New Roman;Times;Serif" w:hAnsi="Times New Roman;Times;Serif"/>
                <w:b w:val="false"/>
                <w:i w:val="false"/>
                <w:caps w:val="false"/>
                <w:smallCaps w:val="false"/>
                <w:color w:val="282828"/>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CONVERSION NOTICE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Holder in order to Convert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convert $_______________ of the Principal of Note No.  into shares of ordinary shares of the Company, par value of $0.0001 each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Baird Medical Investment Holdings Limited (the “</w:t>
      </w:r>
      <w:r>
        <w:rPr>
          <w:rFonts w:ascii="Times New Roman;Times;Serif" w:hAnsi="Times New Roman;Times;Serif"/>
          <w:b w:val="false"/>
          <w:i w:val="false"/>
          <w:caps w:val="false"/>
          <w:smallCaps w:val="false"/>
          <w:sz w:val="20"/>
          <w:u w:val="single"/>
        </w:rPr>
        <w:t>Maker</w:t>
      </w:r>
      <w:r>
        <w:rPr>
          <w:rFonts w:ascii="Times New Roman;Times;Serif" w:hAnsi="Times New Roman;Times;Serif"/>
          <w:b w:val="false"/>
          <w:i w:val="false"/>
          <w:caps w:val="false"/>
          <w:smallCaps w:val="false"/>
          <w:sz w:val="20"/>
        </w:rPr>
        <w:t>”) according to the terms and conditions set forth in the aforementioned Note, as of the date written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rPr>
      </w:pPr>
      <w:r>
        <w:rPr>
          <w:rFonts w:ascii="Times New Roman;Times;Serif" w:hAnsi="Times New Roman;Times;Serif"/>
        </w:rPr>
        <w:t>Date of Conversion: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Amount:</w:t>
      </w:r>
    </w:p>
    <w:p>
      <w:pPr>
        <w:pStyle w:val="TextBody"/>
        <w:bidi w:val="0"/>
        <w:spacing w:before="0" w:after="0"/>
        <w:jc w:val="left"/>
        <w:rPr>
          <w:rFonts w:ascii="Times New Roman;Times;Serif" w:hAnsi="Times New Roman;Times;Serif"/>
        </w:rPr>
      </w:pPr>
      <w:r>
        <w:rPr>
          <w:rFonts w:ascii="Times New Roman;Times;Serif" w:hAnsi="Times New Roman;Times;Serif"/>
        </w:rPr>
        <w:t>Applicable Conversion Price: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beneficially owned or deemed beneficially owned by the Holder following Conversion: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to be issued: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represents that by such conversion it has not exceeded the Beneficial Ownership Limitation specified in the Note, as it may be amended.</w:t>
      </w:r>
    </w:p>
    <w:p>
      <w:pPr>
        <w:pStyle w:val="TextBody"/>
        <w:bidi w:val="0"/>
        <w:spacing w:before="0" w:after="0"/>
        <w:ind w:left="0" w:right="0" w:hanging="0"/>
        <w:jc w:val="left"/>
        <w:rPr>
          <w:caps w:val="false"/>
          <w:smallCaps w:val="false"/>
        </w:rPr>
      </w:pPr>
      <w:r>
        <w:rPr>
          <w:caps w:val="false"/>
          <w:smallCaps w:val="false"/>
        </w:rPr>
        <w:t> </w:t>
      </w:r>
    </w:p>
    <w:tbl>
      <w:tblPr>
        <w:tblW w:w="1009" w:type="dxa"/>
        <w:jc w:val="left"/>
        <w:tblInd w:w="0" w:type="dxa"/>
        <w:tblLayout w:type="fixed"/>
        <w:tblCellMar>
          <w:top w:w="0" w:type="dxa"/>
          <w:left w:w="0" w:type="dxa"/>
          <w:bottom w:w="0" w:type="dxa"/>
          <w:right w:w="0" w:type="dxa"/>
        </w:tblCellMar>
      </w:tblPr>
      <w:tblGrid>
        <w:gridCol w:w="75"/>
        <w:gridCol w:w="349"/>
        <w:gridCol w:w="585"/>
      </w:tblGrid>
      <w:tr>
        <w:trPr/>
        <w:tc>
          <w:tcPr>
            <w:tcW w:w="75"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w:t>
            </w:r>
          </w:p>
        </w:tc>
      </w:tr>
      <w:tr>
        <w:trPr/>
        <w:tc>
          <w:tcPr>
            <w:tcW w:w="75"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tm2626149d1_ex10-3.htm"/>
      <w:bookmarkStart w:id="9" w:name="kstm2626149d1_ex103"/>
      <w:bookmarkEnd w:id="8"/>
      <w:bookmarkEnd w:id="9"/>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SECURITY AGREEMENT (as may be amended, restated, supplemented or otherwise modified from time to time, this “Agreement”) dated as of September 24, 2026, by and among Baird Medical Investment Holdings Ltd, a Cayman Islands exempted company (the “Company”), with corporate headquarter at Room 202, 2/F, Baide Building, Building 11, No. 15, Rongtong Street, Yuexiu District, Guangzhou, Peoples Republic of China, the Company’s Subsidiary which is set forth on the signature page(s) hereto (the Company, each Subsidiary, and each other Person who becomes a party to this Agreement by execution of a joinder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which shall include all Subsidiaries of the Company formed, registered, incorporated or acquired after the date hereof which have any assets located in or which are otherwise subject to the jurisdiction of any state or territory of the United States, are hereinafter sometimes referred to individually as a “Debtor” and, collectively, as the “Debtors”) and L1 Capital Global Opportunities Master Fund, an exempted company incorporated under the laws of the Cayman Islands, in its capacity as the Investor (as defined in the Purchase Agreement (as hereinafter defined)) and as Collateral Agent for the benefit of itself as the Investor (together with their respective successors and permitted assigns, each a “Secured Party” and collectively, the “Secured Parties”) who execute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Investor is purchasing from the Company that certain Note (as defined in the Purchase Agreement) in an original aggregate principal amount of $4,347,826;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Note is being acquired by the Investor, and the Investor has made certain financial accommodations to the Company pursuant to the Securities Purchase Agreement, dated as of the dated the date of this Agreement, by and between the Company and the Investor (as the same may be amended, restated, supplemented or otherwise modified from time-to-time, the “Purchase Agreement”). Capitalized words and terms used herein but not otherwise defined shall have the meanings set forth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Debtor will derive substantial direct or indirect benefit and advantage from the financial accommodations to the Company set forth in the Purchase Agreement and the Note, and it will be to each such Debtor’s direct or indirect interest and economic benefit to assist the Company in procuring said financial accommodations from the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Capitalized words and phrases used herein without definition and defined in the Purchase Agreement have the definitions set forth in the Purchase Agreement. In addition, as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Accounts” means any “account,” as such term is defined in the UCC, and, in any event, shall include, without limitation, “supporting obligations” as defined in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Chattel Paper” means any “chattel paper,” as such term is defined in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Collateral” shall have the meaning ascribed thereto in Section 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Collateral Agent” shall mean L1 Capital Global Opportunities Master Fund, in its capacity as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Commercial Tort Claims” means “commercial tort claims”, as such term is defined in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Contracts” means all contracts, undertakings, or other agreements (other than rights evidenced by Chattel Paper, Documents or Instruments) in or under which a Debtor may now or hereafter have any right, title or interest, including, without limitation, with respect to an Account, any agreement relating to the terms of payment or the terms of performance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Copyrights” means any copyrights, rights and interests in copyrights, works protectable by copyrights, copyright registrations and copyright applications, including, without limitation, the copyright registrations and applications listed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attached hereto (if any), and all renewals of any of the foregoing, all income, royalties, damages and payments now and hereafter due and/or payable under or with respect to any of the foregoing, including, without limitation, damages and payments for past, present and future infringements of any of the foregoing and the right to sue for past, present and future infringements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Deposit Accounts” means all “deposit accounts” as such term is defined in the UCC, now or hereafter held in the name of a Debtor.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Documents” means any “documents,” as such term is defined in the UCC, and shall include, without limitation, all documents of title (as defined in the UCC), bills of lading or other receipts evidencing or representing Inventory or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Equipment” means any “equipment,” as such term is defined in the UCC and, in any event, shall include, Motor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shall have the meaning set forth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Excluded Assets” means any lease, license or other agreement or any property subject to a capital lease, purchase money security interest or similar arrangement, to the extent that a grant of a Lien thereon in favor of the Collateral Agent would violate or invalidate such lease, license, agreement or capital lease, purchase money security interest or similar arrangement or create a right of termination in favor of any other party thereto (other than the Debtors), so long as such provision exists and so long as such lease, license or agreement was not entered into in contemplation of circumventing the obligation to provide Collateral hereunder or in violation of the Purchase Agreement, other than to the extent that any such term would be rendered ineffective pursuant to Sections 9-406, 9-407, 9-408 or 9-409 of the UCC (or any successor provision or provisions) of any relevant jurisdiction or any other applicable law including the bankruptcy code, or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General Intangibles” means any “general intangibles,” as such term is defined in the UCC, and, in any event, shall include, without limitation, all right, title and interest in or under any Contract, models, drawings, materials and records, claims, literary rights, goodwill, rights of performance, Copyrights, Trademarks, Patents, warranties, rights under insurance policies and rights of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Goods” means any “goods”, as such term is defined in the UCC, including, without limitation, fixtures and embedded Software to the extent included in “goods” as defined in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Instruments” means any “instrument,” as such term is defined in the UCC, and shall include, without limitation, promissory notes, drafts, bills of exchange, trade acceptances, letters of credit, letter of credit rights (as defined in the UCC), and Chattel Paper.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Inventory” means any “inventory,” as such term is defined in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Investment Property” means any “investment property”, as such term is defined in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Motor Vehicles” shall mean motor vehicles, tractors, trailers and other like property, whether or not the title thereto is governed by a certificate of title or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Obligations” shall mean all obligations arising under the Note including but not limited to the principal, accrued interest, and other sums due under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Patents” means any patents and patent applications, including, without limitation, the inventions and improvements described and claimed therein, all patentable inventions and those patents and patent applications listed on </w:t>
      </w:r>
      <w:r>
        <w:rPr>
          <w:rFonts w:ascii="Times New Roman;Times;Serif" w:hAnsi="Times New Roman;Times;Serif"/>
          <w:b w:val="false"/>
          <w:i w:val="false"/>
          <w:caps w:val="false"/>
          <w:smallCaps w:val="false"/>
          <w:sz w:val="20"/>
          <w:u w:val="single"/>
        </w:rPr>
        <w:t>Schedule IV</w:t>
      </w:r>
      <w:r>
        <w:rPr>
          <w:rFonts w:ascii="Times New Roman;Times;Serif" w:hAnsi="Times New Roman;Times;Serif"/>
          <w:b w:val="false"/>
          <w:i w:val="false"/>
          <w:caps w:val="false"/>
          <w:smallCaps w:val="false"/>
          <w:sz w:val="20"/>
        </w:rPr>
        <w:t xml:space="preserve"> attached hereto (if any), and the reissues, divisions, continuations, renewals, extensions and continuations-in-part of any of the foregoing, and all income, royalties, damages and payments now or hereafter due and/or payable under or with respect to any of the foregoing, including, without limitation, damages and payments for past, present and future infringements of any of the foregoing and the right to sue for past, present and future infringements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Permitted Indebtedness” has the meaning set forth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Permitted Lien” has the meaning set forth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Proceeds” means “proceeds,” as such term is defined in the UCC and, in any event, includes, without limitation, (a) any and all proceeds of any insurance, indemnity, warranty or guaranty payable with respect to any of the Collateral, (b) any and all payments (in any form whatsoever) made or due and payable from time to time in connection with any requisition, confiscation, condemnation, seizure or forfeiture of all or any part of the Collateral by any Governmental Authority (or any person acting under color of Governmental Authority), and (c) any and all other amounts from time to time paid or payable under, in respect of or in connection with any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Representative” means any Person acting as agent, representative or trustee on behalf of the Collateral Agent from time-to-time.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Software” means all “software” as such term is defined in the UCC, now owned or hereafter acquired by a Debtor, other than software embedded in any category of Goods, including, without limitation, all computer programs and all supporting information provided in connection with a transaction related to any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Trademarks” means any trademarks, trade names, corporate names, company names, business names, fictitious business names, trade styles, service marks, logos, other business identifiers, prints and labels on which any of the foregoing have appeared or appear, all registrations and recordings thereof, and all applications in connection therewith, including, without limitation, the trademarks and applications listed in </w:t>
      </w:r>
      <w:r>
        <w:rPr>
          <w:rFonts w:ascii="Times New Roman;Times;Serif" w:hAnsi="Times New Roman;Times;Serif"/>
          <w:b w:val="false"/>
          <w:i w:val="false"/>
          <w:caps w:val="false"/>
          <w:smallCaps w:val="false"/>
          <w:sz w:val="20"/>
          <w:u w:val="single"/>
        </w:rPr>
        <w:t>Schedule V</w:t>
      </w:r>
      <w:r>
        <w:rPr>
          <w:rFonts w:ascii="Times New Roman;Times;Serif" w:hAnsi="Times New Roman;Times;Serif"/>
          <w:b w:val="false"/>
          <w:i w:val="false"/>
          <w:caps w:val="false"/>
          <w:smallCaps w:val="false"/>
          <w:sz w:val="20"/>
        </w:rPr>
        <w:t xml:space="preserve"> attached hereto (if any) and renewals thereof, and all income, royalties, damages and payments now or hereafter due and/or payable under or with respect to any of the foregoing, including, without limitation, damages and payments for past, present and future infringements of any of the foregoing and the right to sue for past, present and future infringements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UCC” shall mean the Uniform Commercial Code as in effect from time to time in the State of Delaware;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to the extent that the Uniform Commercial Code is used to define any term herein and such term is defined differently in different Articles of the Uniform Commercial Code, the definition of such term contained in Article 9 shall govern. All references to the UCC in this Agreement are solely for definitional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references to an “Investor” or “Investors” and “Secured Party” or “Secured Parties” hereunder shall include the Collateral Agent acting in its capacity as the Investor. For clarity, because the Collateral Agent is the sole Investor under the Purchase Agreement, the parties acknowledge that notwithstanding references to Collateral Agent or Investor in this Agreement, the term “Collateral Agent” refers to the Investor, and the terms “Investor” or “Investors” and “Secured Party” or “Secured Parties” refers to the Collateral Agent, unless one or more investors acquire a portion of the Investor’s Notes in which case the Investor shall act as Collateral Agent for all parties who hold such Notes in accordance with this Agreement, and their respective successors and assigns. In such event, the Collateral Agent may require amendments to the applicable Transaction Documents to reflect the inclusion of additional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 </w:t>
      </w:r>
      <w:r>
        <w:rPr>
          <w:rFonts w:ascii="Times New Roman;Times;Serif" w:hAnsi="Times New Roman;Times;Serif"/>
          <w:b w:val="false"/>
          <w:i w:val="false"/>
          <w:caps w:val="false"/>
          <w:smallCaps w:val="false"/>
          <w:sz w:val="20"/>
          <w:u w:val="single"/>
        </w:rPr>
        <w:t>Representations, Warranties and Covenants of the Debtors</w:t>
      </w:r>
      <w:r>
        <w:rPr>
          <w:rFonts w:ascii="Times New Roman;Times;Serif" w:hAnsi="Times New Roman;Times;Serif"/>
          <w:b w:val="false"/>
          <w:i w:val="false"/>
          <w:caps w:val="false"/>
          <w:smallCaps w:val="false"/>
          <w:sz w:val="20"/>
        </w:rPr>
        <w:t>. Each Debtor represents and warrants to, and covenants with, the Collateral Agent and each Secured Party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Subject to the Permitted Liens, such Debtor has rights in and the power to transfer the Collateral in which it purports to grant a security interest pursuant to Section 3 hereof (subject, with respect to after acquired Collateral, to such Debtor acquiring the same) and no Lien other than a Permitted Lien exists upon such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is effective to create in favor of the Collateral Agent a valid security interest in and Lien upon all of such Debtor’s right, title and interest in and to the Collateral pursuant to which a security interest may be perfected by the following actions, and upon (i) the filing of appropriate UCC financing statements in the jurisdictions listed on Schedule I attached hereto, (ii) filings in the United States Patent and Trademark Office, or United States Copyright Office with respect to Collateral that constitutes Patents and Trademarks, or Copyrights, as the case may be, (iii)  delivery to the Collateral Agent or its Representative of Instruments duly endorsed by such Debtor or accompanied by appropriate instruments of transfer duly executed by such Debtor with respect to Instruments not constituting Chattel Paper, and (iv) the execution and delivery of deposit account control agreements with the depository or other institution with which the applicable Deposit Accounts are maintained, such security interest will be a duly perfected first priority perfected security interest in all of such Collateral in which such a security interest may be perfected.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of the Equipment, Inventory and Goods owned by such Debtor is located at the places as specified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Except as disclosed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none of the Collateral is in the possession of any bailee, warehousemen, processor or consignee.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discloses such Debtor’s name as of the date hereof as it appears in official filings in the jurisdiction of its incorporation, formation or organization, the type of entity of such Debtor (including corporation, partnership, limited partnership or limited liability company), organizational identification number issued by such Debtor’s jurisdiction of incorporation, formation or organization (or a statement that no such number has been issued), such Debtor’s jurisdiction of incorporation, formation or organization and the chief place of business, chief executive office and the office where such Debtor keeps its books and records and the states in which such Debtor conducts its business. Such Debtor has only one jurisdiction` of incorporation, formation or organization. Such Debtor does not do business and has not done business during the past five years under any trade name or fictitious business name except as disclosed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 Copyrights, Patents or Trademarks listed on </w:t>
      </w:r>
      <w:r>
        <w:rPr>
          <w:rFonts w:ascii="Times New Roman;Times;Serif" w:hAnsi="Times New Roman;Times;Serif"/>
          <w:b w:val="false"/>
          <w:i w:val="false"/>
          <w:caps w:val="false"/>
          <w:smallCaps w:val="false"/>
          <w:sz w:val="20"/>
          <w:u w:val="single"/>
        </w:rPr>
        <w:t>Schedules III, IV and V</w:t>
      </w:r>
      <w:r>
        <w:rPr>
          <w:rFonts w:ascii="Times New Roman;Times;Serif" w:hAnsi="Times New Roman;Times;Serif"/>
          <w:b w:val="false"/>
          <w:i w:val="false"/>
          <w:caps w:val="false"/>
          <w:smallCaps w:val="false"/>
          <w:sz w:val="20"/>
        </w:rPr>
        <w:t xml:space="preserve">, respectively, if any, have been adjudged invalid or unenforceable or have been canceled, in whole or in part, or are not presently subsisting. Each of such Copyrights, Patents and Trademarks (if any) is valid and enforceable. Subject to Permitted Liens, such Debtor is the sole and exclusive owner of the entire and unencumbered right, title and interest in and to each of such Copyrights, Patents and Trademarks, identified on </w:t>
      </w:r>
      <w:r>
        <w:rPr>
          <w:rFonts w:ascii="Times New Roman;Times;Serif" w:hAnsi="Times New Roman;Times;Serif"/>
          <w:b w:val="false"/>
          <w:i w:val="false"/>
          <w:caps w:val="false"/>
          <w:smallCaps w:val="false"/>
          <w:sz w:val="20"/>
          <w:u w:val="single"/>
        </w:rPr>
        <w:t>Schedules III, IV and V</w:t>
      </w:r>
      <w:r>
        <w:rPr>
          <w:rFonts w:ascii="Times New Roman;Times;Serif" w:hAnsi="Times New Roman;Times;Serif"/>
          <w:b w:val="false"/>
          <w:i w:val="false"/>
          <w:caps w:val="false"/>
          <w:smallCaps w:val="false"/>
          <w:sz w:val="20"/>
        </w:rPr>
        <w:t>, as applicable, as being owned by such Debtor, free and clear of any liens (subject to Permitted Liens), charges and encumbrances, including without limitation licenses, shop rights and covenants by such Debtor not to sue third persons. Such Debtor has adopted, used and is currently using, or has a current bona fide intention to use, all of such Trademarks and Copyrights. Such Debtor has no notice of any suits or actions commenced or threatened with reference to the Copyrights, Patents or Trademarks owned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Debtor agrees to deliver to the Collateral Agent an updated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within five Trading Days of any change thereto which, if omitted, would make such Schedules materially misleading, taken as a whole. Notwithstanding anything to the contrary in this Agreement, for the avoidance of doubt, any representation or warranty made by Debtors with respect to such Schedules during such five Trading Day period shall be deemed true and correct, and any covenant of the Debtors with respect to such Schedules during such five Trading Day period shall be deemed complied with until the earlier of (a) the expiration of such five Trading Day period and (b) the delivery of such updated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Such Debtor does not own any Commercial Tort Claim except for those disclosed on </w:t>
      </w:r>
      <w:r>
        <w:rPr>
          <w:rFonts w:ascii="Times New Roman;Times;Serif" w:hAnsi="Times New Roman;Times;Serif"/>
          <w:b w:val="false"/>
          <w:i w:val="false"/>
          <w:caps w:val="false"/>
          <w:smallCaps w:val="false"/>
          <w:sz w:val="20"/>
          <w:u w:val="single"/>
        </w:rPr>
        <w:t>Schedule VII</w:t>
      </w:r>
      <w:r>
        <w:rPr>
          <w:rFonts w:ascii="Times New Roman;Times;Serif" w:hAnsi="Times New Roman;Times;Serif"/>
          <w:b w:val="false"/>
          <w:i w:val="false"/>
          <w:caps w:val="false"/>
          <w:smallCaps w:val="false"/>
          <w:sz w:val="20"/>
        </w:rPr>
        <w:t xml:space="preserve"> hereto (if any)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Such Debtor does not have any interest in owned real property with respect to real property except as disclosed on </w:t>
      </w:r>
      <w:r>
        <w:rPr>
          <w:rFonts w:ascii="Times New Roman;Times;Serif" w:hAnsi="Times New Roman;Times;Serif"/>
          <w:b w:val="false"/>
          <w:i w:val="false"/>
          <w:caps w:val="false"/>
          <w:smallCaps w:val="false"/>
          <w:sz w:val="20"/>
          <w:u w:val="single"/>
        </w:rPr>
        <w:t>Schedule VIII</w:t>
      </w:r>
      <w:r>
        <w:rPr>
          <w:rFonts w:ascii="Times New Roman;Times;Serif" w:hAnsi="Times New Roman;Times;Serif"/>
          <w:b w:val="false"/>
          <w:i w:val="false"/>
          <w:caps w:val="false"/>
          <w:smallCaps w:val="false"/>
          <w:sz w:val="20"/>
        </w:rPr>
        <w:t xml:space="preserve"> (if any). Each Debtor shall deliver to the Collateral Agent a revised version of </w:t>
      </w:r>
      <w:r>
        <w:rPr>
          <w:rFonts w:ascii="Times New Roman;Times;Serif" w:hAnsi="Times New Roman;Times;Serif"/>
          <w:b w:val="false"/>
          <w:i w:val="false"/>
          <w:caps w:val="false"/>
          <w:smallCaps w:val="false"/>
          <w:sz w:val="20"/>
          <w:u w:val="single"/>
        </w:rPr>
        <w:t>Schedule VIII</w:t>
      </w:r>
      <w:r>
        <w:rPr>
          <w:rFonts w:ascii="Times New Roman;Times;Serif" w:hAnsi="Times New Roman;Times;Serif"/>
          <w:b w:val="false"/>
          <w:i w:val="false"/>
          <w:caps w:val="false"/>
          <w:smallCaps w:val="false"/>
          <w:sz w:val="20"/>
        </w:rPr>
        <w:t xml:space="preserve"> showing any changes thereto within 10 Trading Days of any such change thereto which, if omitted, would make such </w:t>
      </w:r>
      <w:r>
        <w:rPr>
          <w:rFonts w:ascii="Times New Roman;Times;Serif" w:hAnsi="Times New Roman;Times;Serif"/>
          <w:b w:val="false"/>
          <w:i w:val="false"/>
          <w:caps w:val="false"/>
          <w:smallCaps w:val="false"/>
          <w:sz w:val="20"/>
          <w:u w:val="single"/>
        </w:rPr>
        <w:t>Schedule VIII</w:t>
      </w:r>
      <w:r>
        <w:rPr>
          <w:rFonts w:ascii="Times New Roman;Times;Serif" w:hAnsi="Times New Roman;Times;Serif"/>
          <w:b w:val="false"/>
          <w:i w:val="false"/>
          <w:caps w:val="false"/>
          <w:smallCaps w:val="false"/>
          <w:sz w:val="20"/>
        </w:rPr>
        <w:t xml:space="preserve"> materially misleading, taken as a whole. Notwithstanding anything to the contrary in this Agreement, for the avoidance of doubt, any representation or warranty made by Debtors with respect to such </w:t>
      </w:r>
      <w:r>
        <w:rPr>
          <w:rFonts w:ascii="Times New Roman;Times;Serif" w:hAnsi="Times New Roman;Times;Serif"/>
          <w:b w:val="false"/>
          <w:i w:val="false"/>
          <w:caps w:val="false"/>
          <w:smallCaps w:val="false"/>
          <w:sz w:val="20"/>
          <w:u w:val="single"/>
        </w:rPr>
        <w:t>Schedule VIII</w:t>
      </w:r>
      <w:r>
        <w:rPr>
          <w:rFonts w:ascii="Times New Roman;Times;Serif" w:hAnsi="Times New Roman;Times;Serif"/>
          <w:b w:val="false"/>
          <w:i w:val="false"/>
          <w:caps w:val="false"/>
          <w:smallCaps w:val="false"/>
          <w:sz w:val="20"/>
        </w:rPr>
        <w:t xml:space="preserve"> during such 10 Trading Day period shall be deemed true and correct, and any covenant of the Debtors with respect to such Schedules during such 10 Trading Day period shall be deemed complied with until the earlier of (a) the expiration of such 10 Trading Day period and (b) the delivery of such updated </w:t>
      </w:r>
      <w:r>
        <w:rPr>
          <w:rFonts w:ascii="Times New Roman;Times;Serif" w:hAnsi="Times New Roman;Times;Serif"/>
          <w:b w:val="false"/>
          <w:i w:val="false"/>
          <w:caps w:val="false"/>
          <w:smallCaps w:val="false"/>
          <w:sz w:val="20"/>
          <w:u w:val="single"/>
        </w:rPr>
        <w:t>Schedule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All Equipment owned by a Debtor and subject to a certificate of title or ownership statute is described on </w:t>
      </w:r>
      <w:r>
        <w:rPr>
          <w:rFonts w:ascii="Times New Roman;Times;Serif" w:hAnsi="Times New Roman;Times;Serif"/>
          <w:b w:val="false"/>
          <w:i w:val="false"/>
          <w:caps w:val="false"/>
          <w:smallCaps w:val="false"/>
          <w:sz w:val="20"/>
          <w:u w:val="single"/>
        </w:rPr>
        <w:t>Schedule IX</w:t>
      </w:r>
      <w:r>
        <w:rPr>
          <w:rFonts w:ascii="Times New Roman;Times;Serif" w:hAnsi="Times New Roman;Times;Serif"/>
          <w:b w:val="false"/>
          <w:i w:val="false"/>
          <w:caps w:val="false"/>
          <w:smallCaps w:val="false"/>
          <w:sz w:val="20"/>
        </w:rPr>
        <w:t xml:space="preserve"> hereto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 </w:t>
      </w:r>
      <w:r>
        <w:rPr>
          <w:rFonts w:ascii="Times New Roman;Times;Serif" w:hAnsi="Times New Roman;Times;Serif"/>
          <w:b w:val="false"/>
          <w:i w:val="false"/>
          <w:caps w:val="false"/>
          <w:smallCaps w:val="false"/>
          <w:sz w:val="20"/>
          <w:u w:val="single"/>
        </w:rPr>
        <w:t>Grant of Security Interest;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3.1  </w:t>
      </w:r>
      <w:r>
        <w:rPr>
          <w:rFonts w:ascii="Times New Roman;Times;Serif" w:hAnsi="Times New Roman;Times;Serif"/>
          <w:b w:val="false"/>
          <w:i w:val="false"/>
          <w:caps w:val="false"/>
          <w:smallCaps w:val="false"/>
          <w:sz w:val="20"/>
          <w:u w:val="single"/>
        </w:rPr>
        <w:t>Security Interest; Collateral</w:t>
      </w:r>
      <w:r>
        <w:rPr>
          <w:rFonts w:ascii="Times New Roman;Times;Serif" w:hAnsi="Times New Roman;Times;Serif"/>
          <w:b w:val="false"/>
          <w:i w:val="false"/>
          <w:caps w:val="false"/>
          <w:smallCaps w:val="false"/>
          <w:sz w:val="20"/>
        </w:rPr>
        <w:t>. As collateral security for the prompt payment in full when due (whether at stated maturity, by acceleration or otherwise) of the Obligations, each Debtor hereby pledges and grants to the Collateral Agent, for the benefit of itself and each Secured Party, a Lien on and security interest in and to all of such Debtor’s right, title and interest in and to the following properties and assets of such Debtor, whether now owned by such Debtor or hereafter acquired and whether now existing or hereafter coming into existence and wherever located and of every kind, nature and description, whether tangible or intangible (all being collectively referred to herein as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assets of the Debtors which are or become located in the United States or its respective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or in any Transaction Document, in no event shall the security interest granted herein or therein attach to any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Pledge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limiting the generality of the foregoing, pursuant to this Agreement, the Company hereby pledges, assigns, hypothecates, transfers, delivers and grants to the Collateral Agent, for the benefit of itself and any other Secured Parties, a first lien on and first priority perfected security interest in (i) all of the Equity of the Pledge Entities now owned or hereafter acquired by such Pledgor (collectively, the “Pledged Interests”), (ii) any other shares of Equity hereafter pledged or referred to be pledged to the Collateral Agent pursuant to this Agreement; (iii) all “investment property” as such term is defined in §9-102(a)(49) of the UCC (as defined below) with respect thereto; (iv) any “security entitlement” as such term is defined in § 8-102(a)(17) of the UCC with respect thereto; (v) all books and records relating to the foregoing; and (vi) all Accessions and Proceeds (as each is defined in the UCC) of the foregoing, including, without limitation, all distributions (cash, stock, or otherwise), dividends, stock dividends, securities, cash, instruments, rights to subscribe, purchase, or sell, and other property, rights, and interest that such Pledgor is at any time entitled to receive or is otherwise distributed in respect of, or in exchange for, any or all of the Pledged Collateral (as defined below), and without affecting the obligations of the Pledgor under any provision of the Security Agreement, in the event of any consolidation or merger in which the Pledgor is not the surviving corporation, all shares of each class or Equity of the successor entity formed by or resulting from such consolidation or merger (the collateral described in clauses (i) through (vi) of this Section 2 being collectively referred to as the “Pledged Collateral”), as collateral security for the prompt and complete payment and performance when due (whether at the stated maturity, by acceleration or otherwise)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Pledged Interest consisting of either (i) a membership interest in a Person that is a limited liability company or (ii) a partnership interest in a Person that is a partnership (if any) (1) is not and will not be evidenced by a certificate and (2) is not and will not be deemed a “security” governed by Article 8 of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acknowledge and agree that the pledge provided for hereunder and the Pledged Collateral pursuant to this Section 3.2 shall be subject to the provisions set forth in the Pledge Agreement to be entered into by and among the parties hereto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“Pledge Agreement”). Unless otherwise defined or referenced herein, all capitalized words and phrases used in this Section 3.2 shall have the meanings given them in the Pledge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 </w:t>
      </w:r>
      <w:r>
        <w:rPr>
          <w:rFonts w:ascii="Times New Roman;Times;Serif" w:hAnsi="Times New Roman;Times;Serif"/>
          <w:b w:val="false"/>
          <w:i w:val="false"/>
          <w:caps w:val="false"/>
          <w:smallCaps w:val="false"/>
          <w:sz w:val="20"/>
          <w:u w:val="single"/>
        </w:rPr>
        <w:t>Covenants; Remedies</w:t>
      </w:r>
      <w:r>
        <w:rPr>
          <w:rFonts w:ascii="Times New Roman;Times;Serif" w:hAnsi="Times New Roman;Times;Serif"/>
          <w:b w:val="false"/>
          <w:i w:val="false"/>
          <w:caps w:val="false"/>
          <w:smallCaps w:val="false"/>
          <w:sz w:val="20"/>
        </w:rPr>
        <w:t>. In furtherance of the grant of the pledge and security interest pursuant to Section 3 hereof, each Debtor hereby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4.1  </w:t>
      </w:r>
      <w:r>
        <w:rPr>
          <w:rFonts w:ascii="Times New Roman;Times;Serif" w:hAnsi="Times New Roman;Times;Serif"/>
          <w:b w:val="false"/>
          <w:i w:val="false"/>
          <w:caps w:val="false"/>
          <w:smallCaps w:val="false"/>
          <w:sz w:val="20"/>
          <w:u w:val="single"/>
        </w:rPr>
        <w:t>Delivery and Other Perfection; Maintenance,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Delivery of Instruments, Documents, Etc</w:t>
      </w:r>
      <w:r>
        <w:rPr>
          <w:rFonts w:ascii="Times New Roman;Times;Serif" w:hAnsi="Times New Roman;Times;Serif"/>
          <w:b w:val="false"/>
          <w:i w:val="false"/>
          <w:caps w:val="false"/>
          <w:smallCaps w:val="false"/>
          <w:sz w:val="20"/>
        </w:rPr>
        <w:t xml:space="preserve">. Each Debtor shall deliver and pledge to the Collateral Agent or its Representative any and all Instruments, negotiable Documents, Chattel Paper and certificated securities (accompanied by stock powers executed in blank, which stock powers may be filled in and completed at any time upon the occurrence of any Event of Default) duly endorsed and/or accompanied by such instruments of assignment and transfer executed by such Debtor in such form and substance as the Collateral Agent or its Representative may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so long as no Event of Default shall have occurred and be continuing, each Debtor may retain for collection in the ordinary course of business any Instruments, negotiable Documents and Chattel Paper received by such Debtor in the ordinary course of business, and the Collateral Agent or its Representative shall, promptly upon request of a Debtor, make appropriate arrangements for making any other Instruments, negotiable Documents and Chattel Paper pledged by such Debtor available to such Debtor for purposes of presentation, collection or renewal (any such arrangement to be effected, to the extent deemed appropriate by the Collateral Agent or its Representative, against a trust receipt or like document). If a Debtor retains possession of any Chattel Paper, negotiable Documents or Instruments pursuant to the terms hereof, such Chattel Paper, negotiable Documents and Instruments shall be marked with the following legend: “This writing and the obligations evidenced or secured hereby are subject to the security interest of L1 Capital Global Opportunities Master Fund, in its capacity as Collateral Agent for the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Other Documents and Actions</w:t>
      </w:r>
      <w:r>
        <w:rPr>
          <w:rFonts w:ascii="Times New Roman;Times;Serif" w:hAnsi="Times New Roman;Times;Serif"/>
          <w:b w:val="false"/>
          <w:i w:val="false"/>
          <w:caps w:val="false"/>
          <w:smallCaps w:val="false"/>
          <w:sz w:val="20"/>
        </w:rPr>
        <w:t xml:space="preserve">. Each Debtor shall, upon the reasonable request of the Collateral Agent, give, execute, deliver, file and/or record any financing statement, registration, notice, instrument, document, agreement, mortgage or other papers that may be necessary to create, preserve, perfect or validate the security interest granted pursuant hereto (or any security interest or mortgage contemplated or required hereunder, including with respect to Section 2(h) of this Agreement) or to enable the Collateral Agent or its Representative to exercise and enforce the rights of the Secured Parties hereunder with respect to such pledge and security interest,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notices to account debtors in respect of any Accounts or Instruments shall be subject to the provisions of clause (e) below. Notwithstanding the foregoing each Debtor hereby irrevocably authorizes the Collateral Agent at any time and from time to time to file in any filing office in any jurisdiction any initial financing statements (and other similar filings or registrations under other applicable laws and regulations pertaining to the creation, attachment, or perfection of security interests) and amendments thereto that (a) indicate the Collateral (i) as all assets of such Debtor or words of similar effect, regardless of whether any particular asset comprised in the Collateral falls within the scope of Article 9 of the UCC, or (ii) as being of an equal or lesser scope or with greater detail, and (b) contain any other information required by part 5 of Article 9 of the UCC for the sufficiency or filing office acceptance of any financing statement or amendment, including (i) whether such Debtor is an organization, the type of organization and any organization identification number issued to such Debtor, and (ii) in the case of a financing statement filed as a fixture filing, a sufficient description of real property to which the Collateral relates. Each Debtor agrees to furnish any such information to the Collateral Agent promptly upon reasonable request. Each Debtor also ratifies its authorization for the Collateral Agent to have filed in any jurisdiction any like initial financing statements or amendments thereto if filed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Each Debtor shall maintain at its own cost and expense reasonably complete and accurate books and records of the Collateral, including, without limitation, a record of payments received and credits granted with respect to the Collateral. Upon the occurrence and during the continuation of any Event of Default, each Debtor shall deliver and turn over any such books and records (or true and correct copies thereof) to the Collateral Agent or its Representative at any time on demand. Each Debtor shall permit the Collateral Agent or any Representative of the Collateral Agent to inspect such books and records at any time during reasonable business hours and upon reasonable notice; provided that a representative of such Debtor may attend such inspection, if desired by such Debtor, and will provide photocopies thereof at such Debtor’s expense to the Collateral Agent or its Representative upon reasonable request of the Collateral Agent or its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Notice to Account Debtors; Verification</w:t>
      </w:r>
      <w:r>
        <w:rPr>
          <w:rFonts w:ascii="Times New Roman;Times;Serif" w:hAnsi="Times New Roman;Times;Serif"/>
          <w:b w:val="false"/>
          <w:i w:val="false"/>
          <w:caps w:val="false"/>
          <w:smallCaps w:val="false"/>
          <w:sz w:val="20"/>
        </w:rPr>
        <w:t>. Upon the occurrence and during the continuance of any Event of Default, (i) upon request of the Collateral Agent or its Representative, each Debtor shall promptly notify (and each Debtor hereby authorizes the Collateral Agent and its Representative so to notify) each account debtor in respect of any Accounts or Instruments or other Persons obligated on the Collateral that such Collateral has been assigned to the Collateral Agent hereunder, and that any payments due or to become due in respect of such Collateral are to be made directly to the Collateral Agent, and (ii) the Collateral Agent and its Representative shall have the right at any time or times to make direct verification with the account debtors or other Persons obligated on the Collateral of any and all of the Accounts or other such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Each Debtor represents and warrants that the Copyrights, Patents and Trademarks listed on </w:t>
      </w:r>
      <w:r>
        <w:rPr>
          <w:rFonts w:ascii="Times New Roman;Times;Serif" w:hAnsi="Times New Roman;Times;Serif"/>
          <w:b w:val="false"/>
          <w:i w:val="false"/>
          <w:caps w:val="false"/>
          <w:smallCaps w:val="false"/>
          <w:sz w:val="20"/>
          <w:u w:val="single"/>
        </w:rPr>
        <w:t>Schedules III, IV and V</w:t>
      </w:r>
      <w:r>
        <w:rPr>
          <w:rFonts w:ascii="Times New Roman;Times;Serif" w:hAnsi="Times New Roman;Times;Serif"/>
          <w:b w:val="false"/>
          <w:i w:val="false"/>
          <w:caps w:val="false"/>
          <w:smallCaps w:val="false"/>
          <w:sz w:val="20"/>
        </w:rPr>
        <w:t xml:space="preserve">, respectively (if any), constitute all of the registered Copyrights and all of the Patents and Trademarks now owned by such Debtor. If such Debtor shall (i) obtain rights to any new patentable inventions, any registered Copyrights or any Patents or Trademarks, or (ii) become entitled to the benefit of any registered Copyrights or any Patents or Trademarks or any improvement on any Patent, the provisions of this Agreement above shall automatically apply thereto and such Debtor shall give to the Collateral Agent prompt written notice thereof. Each Debtor hereby authorizes the Collateral Agent to modify this Agreement by amending </w:t>
      </w:r>
      <w:r>
        <w:rPr>
          <w:rFonts w:ascii="Times New Roman;Times;Serif" w:hAnsi="Times New Roman;Times;Serif"/>
          <w:b w:val="false"/>
          <w:i w:val="false"/>
          <w:caps w:val="false"/>
          <w:smallCaps w:val="false"/>
          <w:sz w:val="20"/>
          <w:u w:val="single"/>
        </w:rPr>
        <w:t>Schedules III, IV and V</w:t>
      </w:r>
      <w:r>
        <w:rPr>
          <w:rFonts w:ascii="Times New Roman;Times;Serif" w:hAnsi="Times New Roman;Times;Serif"/>
          <w:b w:val="false"/>
          <w:i w:val="false"/>
          <w:caps w:val="false"/>
          <w:smallCaps w:val="false"/>
          <w:sz w:val="20"/>
        </w:rPr>
        <w:t>, as applicable, to include any such registered Copyrights or any such Patents and Trademarks. Each Debtor shall have the duty (i) to prosecute diligently any patent, trademark, or service mark applications pending as of the date hereof or hereafter, (ii) to preserve and maintain all rights in the Copyrights, Patents and Trademarks, to the extent material to the operations of the business of such Debtor and (iii) to ensure that the Copyrights, Patents and Trademarks are and remain enforceable, to the extent material to the operations of the business of such Debtor. Any expenses incurred in connection with such Debtor’s obligations under this Section 4.1(e) shall be borne by such Debtor. Except for any such items that a Debtor reasonably believes (using prudent industry customs and practices) are no longer necessary for the on-going operations of its business, no Debtor shall abandon any material right to file a patent, trademark or service mark application, or abandon any pending patent, trademark or service mark application or any other Copyright, Patent or Trademark without the prior written consent of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Further Identification of Collateral</w:t>
      </w:r>
      <w:r>
        <w:rPr>
          <w:rFonts w:ascii="Times New Roman;Times;Serif" w:hAnsi="Times New Roman;Times;Serif"/>
          <w:b w:val="false"/>
          <w:i w:val="false"/>
          <w:caps w:val="false"/>
          <w:smallCaps w:val="false"/>
          <w:sz w:val="20"/>
        </w:rPr>
        <w:t>. Each Debtor will, when and as often as reasonably requested by the Collateral Agent or its Representative, furnish to the Collateral Agent or such Representative, statements and schedules further identifying and describing the Collateral and such other reports in connection with the Collateral as the Collateral Agent or its Representative may reasonably request, all in reasonable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u w:val="single"/>
        </w:rPr>
        <w:t>Investment Property</w:t>
      </w:r>
      <w:r>
        <w:rPr>
          <w:rFonts w:ascii="Times New Roman;Times;Serif" w:hAnsi="Times New Roman;Times;Serif"/>
          <w:b w:val="false"/>
          <w:i w:val="false"/>
          <w:caps w:val="false"/>
          <w:smallCaps w:val="false"/>
          <w:sz w:val="20"/>
        </w:rPr>
        <w:t xml:space="preserve">. Each Debtor will take any and all actions reasonably required or requested by the Collateral Agent or its Representative, from time to time, to (i) cause the Collateral Agent to obtain exclusive control of any Investment Property owned by such Debtor in a manner acceptable to the Collateral Agent and (ii) use its commercially reasonable efforts to obtain from any issuers of Investment Property and such other Persons written confirmation of the Collateral Agent’s control over such Investment Property. For purposes of this Section 4.1(g), the Collateral Agent shall have exclusive control of Investment Property if (i) such Investment Property consists of certificated securities and a Debtor delivers such certificated securities to the Collateral Agent (with appropriate endorsements if such certificated securities are in registered form); (ii) such Investment Property consists of uncertificated securities and either (x) a Debtor delivers such uncertificated securities to the Collateral Agent or (y) the issuer thereof agrees, pursuant to documentation in form and substance satisfactory to the Collateral Agent, that it will comply with instructions originated by the Collateral Agent without further consent by such Debtor, and (iii) such Investment Property consists of security entitlements and either (x) the Collateral Agent becomes the entitlement holder thereof or (y) the appropriate securities intermediary agrees, pursuant to the documentation in form and substance satisfactory to the Collateral Agent, that it will comply with entitlement orders originated by the Collateral Agent without further consent by any Debtor;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each Debtor shall cause any uncertificated securities constituting Collateral to be certificated within 10 Trading Days of the date of this Agreement or the date on which such uncertificated securities are acquired by such Debtor,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u w:val="single"/>
        </w:rPr>
        <w:t>Commercial Tort Claims</w:t>
      </w:r>
      <w:r>
        <w:rPr>
          <w:rFonts w:ascii="Times New Roman;Times;Serif" w:hAnsi="Times New Roman;Times;Serif"/>
          <w:b w:val="false"/>
          <w:i w:val="false"/>
          <w:caps w:val="false"/>
          <w:smallCaps w:val="false"/>
          <w:sz w:val="20"/>
        </w:rPr>
        <w:t>. Each Debtor shall promptly notify the Collateral Agent of any Commercial Tort Claim acquired by it that concerns a claim in excess of $50,000 and if requested by the Collateral Agent, such Debtor shall enter into a supplement to this Agreement granting to the Secured Parties a Lien on and security interest in such Commercial Tort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4.2   </w:t>
      </w:r>
      <w:r>
        <w:rPr>
          <w:rFonts w:ascii="Times New Roman;Times;Serif" w:hAnsi="Times New Roman;Times;Serif"/>
          <w:b w:val="false"/>
          <w:i w:val="false"/>
          <w:caps w:val="false"/>
          <w:smallCaps w:val="false"/>
          <w:sz w:val="20"/>
          <w:u w:val="single"/>
        </w:rPr>
        <w:t>Other Liens</w:t>
      </w:r>
      <w:r>
        <w:rPr>
          <w:rFonts w:ascii="Times New Roman;Times;Serif" w:hAnsi="Times New Roman;Times;Serif"/>
          <w:b w:val="false"/>
          <w:i w:val="false"/>
          <w:caps w:val="false"/>
          <w:smallCaps w:val="false"/>
          <w:sz w:val="20"/>
        </w:rPr>
        <w:t>. Other than Permitted Liens, Debtors will not create, permit or suffer to exist, and will defend the Collateral against and take such other action as is necessary to remove, any Lien on the Collateral except Permitted Indebtedness, and will defend the right, title and interest of the Secured Parties in and to the Collateral and in and to all Proceeds thereof against the claims and demands of all Persons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4.3   </w:t>
      </w:r>
      <w:r>
        <w:rPr>
          <w:rFonts w:ascii="Times New Roman;Times;Serif" w:hAnsi="Times New Roman;Times;Serif"/>
          <w:b w:val="false"/>
          <w:i w:val="false"/>
          <w:caps w:val="false"/>
          <w:smallCaps w:val="false"/>
          <w:sz w:val="20"/>
          <w:u w:val="single"/>
        </w:rPr>
        <w:t>Preservation of Rights</w:t>
      </w:r>
      <w:r>
        <w:rPr>
          <w:rFonts w:ascii="Times New Roman;Times;Serif" w:hAnsi="Times New Roman;Times;Serif"/>
          <w:b w:val="false"/>
          <w:i w:val="false"/>
          <w:caps w:val="false"/>
          <w:smallCaps w:val="false"/>
          <w:sz w:val="20"/>
        </w:rPr>
        <w:t>. Whether or not an Event of Default has occurred or is continuing, and subject to a minimum of five Trading Days’ notice to the Debtors when an Event of Default has not occurred and is not continuing, the Collateral Agent and its Representative may, but shall not be required to, take any steps the Collateral Agent or its Representative reasonably deems reasonably necessary or reasonably appropriate to preserve any Collateral or any rights against third parties to any of the Collateral, including obtaining insurance for the Collateral at any time when such Debtor has failed to do so, and Debtors shall promptly pay, or reimburse the Collateral Agent for, all reasonable and documented out of pocket expenses incurred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4.4    </w:t>
      </w:r>
      <w:r>
        <w:rPr>
          <w:rFonts w:ascii="Times New Roman;Times;Serif" w:hAnsi="Times New Roman;Times;Serif"/>
          <w:b w:val="false"/>
          <w:i w:val="false"/>
          <w:caps w:val="false"/>
          <w:smallCaps w:val="false"/>
          <w:sz w:val="20"/>
          <w:u w:val="single"/>
        </w:rPr>
        <w:t>Formation of Subsidiaries; Name Change; Location; Bailees.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 xml:space="preserve">(a)  No Debtor shall form or acquire any Subsidiary unless (i) within 10 days (or such longer period as the Collateral Agent may agree) of such formation or acquisition, (A) such Debtor pledges all of the capital stock or equity interests of such Subsidiary to the Collateral Agent for the benefit of the Secured Parties pursuant to an agreement in a form agreed to by the Collateral Agent, (B) such Subsidiary becomes a party to this Agreement by execution of a joinder in the form of </w:t>
      </w:r>
      <w:r>
        <w:rPr>
          <w:rFonts w:ascii="Times New Roman;Times;Serif" w:hAnsi="Times New Roman;Times;Serif"/>
          <w:b w:val="false"/>
          <w:i w:val="false"/>
          <w:caps w:val="false"/>
          <w:smallCaps w:val="false"/>
          <w:color w:val="010000"/>
          <w:sz w:val="20"/>
          <w:u w:val="single"/>
        </w:rPr>
        <w:t>Exhibit A</w:t>
      </w:r>
      <w:r>
        <w:rPr>
          <w:rFonts w:ascii="Times New Roman;Times;Serif" w:hAnsi="Times New Roman;Times;Serif"/>
          <w:b w:val="false"/>
          <w:i w:val="false"/>
          <w:caps w:val="false"/>
          <w:smallCaps w:val="false"/>
          <w:color w:val="010000"/>
          <w:sz w:val="20"/>
        </w:rPr>
        <w:t xml:space="preserve"> attached hereto and (ii) the formation or acquisition of such Subsidiary is not prohibited by the terms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Except for transactions not prohibited by the terms of the Transaction Documents, no Debtor shall (i) reincorporate or reorganize itself under the laws of any jurisdiction other than the jurisdiction in which it is incorporated or organized as of the date hereof, or (ii) otherwise change its name, identity or corporate structure, in each case, without the prior written consent of the Collateral Agent, which consent shall not be unreasonably withheld, conditioned or delayed. Each Debtor will notify the Collateral Agent promptly in writing prior to any such change in the proposed use by such Debtor of any tradename or fictitious business name other than any such name set forth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Except for the sale of Inventory in the ordinary course of business and other sales of assets not prohibited by the terms of the Transaction Documents, each Debtor will keep the Collateral at the locations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Each Debtor will give the Collateral Agent written notice within five Trading Days after any change in such Debtor’s chief place of business or of any new location for any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If any Collateral is at any time in the possession or control of any warehousemen, bailee, consignee or processor, such Debtor shall, upon the reasonable request of the Collateral Agent or its Representative, notify such warehousemen, bailee, consignee or processor of the Lien and security interest created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Each Debtor acknowledges that it is not authorized to file any financing statement or amendment or termination statement with respect to any financing statement without the prior written consent of the Collateral Agent and agrees that it will not do so without the prior written consent of the Collateral Agent, subject to such Debtor’s rights under Section 9-509(d)(2) to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No Debtor shall enter into any Contract that restricts or prohibits the grant to any Secured Party of a security interest in favor of the Collateral Agent in Accounts, Chattel Paper, Instruments or payment intangibles or the proceeds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4.5 </w:t>
      </w:r>
      <w:r>
        <w:rPr>
          <w:rFonts w:ascii="Times New Roman;Times;Serif" w:hAnsi="Times New Roman;Times;Serif"/>
          <w:b w:val="false"/>
          <w:i w:val="false"/>
          <w:caps w:val="false"/>
          <w:smallCaps w:val="false"/>
          <w:sz w:val="20"/>
          <w:u w:val="single"/>
        </w:rPr>
        <w:t>Events of Default, Etc</w:t>
      </w:r>
      <w:r>
        <w:rPr>
          <w:rFonts w:ascii="Times New Roman;Times;Serif" w:hAnsi="Times New Roman;Times;Serif"/>
          <w:b w:val="false"/>
          <w:i w:val="false"/>
          <w:caps w:val="false"/>
          <w:smallCaps w:val="false"/>
          <w:sz w:val="20"/>
        </w:rPr>
        <w:t>. During the period during which an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Debtor shall, at the request of the Collateral Agent or its Representative, assemble the Collateral and make it available to the Collateral Agent or its Representative at a place or places designated by the Collateral Agent or its Representative which are reasonably convenient to the Collateral Agent or its Representative, as applicable, and such Debtor;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Collateral Agent or its Representative may make any reasonable compromise or settlement deemed desirable with respect to any of the Collateral and may extend the time of payment, arrange for payment in installments, or otherwise modify the terms of, any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Collateral Agent shall have all of the rights and remedies with respect to the Collateral of a secured party under the UCC (whether or not said UCC is in effect in the jurisdiction where the rights and remedies are asserted) and such additional rights and remedies to which a secured party is entitled under the laws in effect in any jurisdiction where any rights and remedies hereunder may be asserted, including, without limitation, the right, to the maximum extent permitted by law, to: (i) upon one Trading Day’s prior written notice to the Debtors, exercise all voting, consensual and other powers of ownership pertaining to the Collateral as if the Collateral Agent were the sole and absolute owner thereof (and each Debtor agrees to take all such action as may be appropriate to give effect to such right) and (ii) the appointment of a receiver or receivers for all or any part of the Collateral or business of a Debtor, whether such receivership be incident to a proposed sale or sales of such Collateral or otherwise and without regard to the value of the Collateral or the solvency of any person or persons liable for the payment of the Obligations secured by such Collateral. Each Debtor hereby consents to the appointment of such receiver or receivers, waives any and all defenses to such appointment and agrees that such appointment shall in no manner impair, prejudice or otherwise affect the rights of the Collateral Agent or any Secured Party under this Agreement. Each Debtor hereby expressly waives notice of a hearing for appointment of a receiver and the necessity for bond or an accounting by the receiver;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Collateral Agent or its Representative in its discretion may, in the name of the Collateral Agent or in the name of a Debtor or otherwise, demand, sue for, collect or receive any money or property at any time payable or receivable on account of or in exchange for any of the Collateral, but shall be under no obligation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Collateral Agent or its Representative may take immediate possession and occupancy of any premises owned, used or leased by a Debtor and exercise all other rights and remedies which may be available to the Collateral Agent or a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Collateral Agent may, upon reasonable notice (such reasonable notice to be determined by the Collateral Agent in its sole and absolute discretion, which shall not be less than 10 days), with respect to the Collateral or any part thereof which shall then be or shall thereafter come into the possession, custody or control of the Collateral Agent or its Representative, sell, lease, license, assign or otherwise dispose of all or any part of such Collateral, at such place or places as the Collateral Agent deems best, and for cash or for credit or for future delivery (without thereby assuming any credit risk), at public or private sale, without demand of performance or notice of intention to effect any such disposition or of the time or place thereof (except such notice as is required above or by applicable statute and cannot be waived), and the Collateral Agent or anyone else may be the purchaser, lessee, licensee, assignee or recipient of any or all of the Collateral so disposed of at any public sale (or, to the extent permitted by law, at any private sale) and thereafter hold the same absolutely, free from any claim or right of whatsoever kind, including any right or equity of redemption (statutory or otherwise), of Debtors, any such demand, notice and right or equity being hereby expressly waived and released. The Collateral Agent may, without notice or publication, adjourn any public or private sale or cause the same to be adjourned from time to time by announcement at the time and place fixed for the sale, and such sale may be made at any time or place to which the sale may be so adjourned;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the Collateral Agent, shall, upon one Trading Day’s prior written notice to the Debtors, have the right (in its sole and absolute discretion) to cause each of the pledged securities to be transferred of record into the name of the Collateral Agent or into the name of its nominee (as pledgee or as sub-agent) or the name of the applicable Debtor, endorsed or assigned in blank or in favor of the Collateral Agent and to the extent permitted by the documentation governing such pledged securities and applicable law, the Collateral Agent shall have the right to exchange the certificates representing pledged securities for certificates of smaller or larger denominations for any purpose consistent with this Agreement. Each Debtor shall take any and all actions reasonably requested by the Collateral Agent to facilitate compliance with this Section 4.5(g);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all rights of any Debtor to dividends, interest, principal or other distributions that such Debtor is entitled to receive shall cease, and all such rights shall thereupon become vested in the Collateral Agent, which shall have the sole and exclusive right and authority to receive and retain such dividends, interest, principal or other distributions as part of the pledged Collateral hereunder. All dividends, interest, principal or other distributions received by any Debtor contrary to the provisions of Section 4.5(g) or this Section 4.5(h) shall be held in trust for the benefit of the Collateral Agent and shall be forthwith delivered to the Collateral Agent upon demand in the same form as so received (with any necessary endorsement reasonably requested by the Collateral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rights, remedies and powers conferred by this Section 4.5 are in addition to, and not in substitution for, any other rights, remedies or powers that the Collateral Agent or any Secured Party may have under any Transaction Document, at law, in equity or by or under the UCC or any other statute or agreement. The Collateral Agent may proceed by way of any action, suit or other proceeding at law or in equity and no right, remedy or power of the Collateral Agent will be exclusive of or dependent on any other. The Collateral Agent may exercise any of its rights, remedies or powers separately or in combination and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each collection, sale or other disposition under this Section 4.5 shall be applied in accordance with Section 4.8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4.6 </w:t>
      </w:r>
      <w:r>
        <w:rPr>
          <w:rFonts w:ascii="Times New Roman;Times;Serif" w:hAnsi="Times New Roman;Times;Serif"/>
          <w:b w:val="false"/>
          <w:i w:val="false"/>
          <w:caps w:val="false"/>
          <w:smallCaps w:val="false"/>
          <w:sz w:val="20"/>
          <w:u w:val="single"/>
        </w:rPr>
        <w:t>Deficiency</w:t>
      </w:r>
      <w:r>
        <w:rPr>
          <w:rFonts w:ascii="Times New Roman;Times;Serif" w:hAnsi="Times New Roman;Times;Serif"/>
          <w:b w:val="false"/>
          <w:i w:val="false"/>
          <w:caps w:val="false"/>
          <w:smallCaps w:val="false"/>
          <w:sz w:val="20"/>
        </w:rPr>
        <w:t>. If the proceeds of sale, collection or other realization of or upon the Collateral are insufficient to cover the reasonable and documented costs and expenses of such realization and the payment in full of the Obligations, the Debtors shall remain jointly and severally liable for any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4.7 </w:t>
      </w:r>
      <w:r>
        <w:rPr>
          <w:rFonts w:ascii="Times New Roman;Times;Serif" w:hAnsi="Times New Roman;Times;Serif"/>
          <w:b w:val="false"/>
          <w:i w:val="false"/>
          <w:caps w:val="false"/>
          <w:smallCaps w:val="false"/>
          <w:sz w:val="20"/>
          <w:u w:val="single"/>
        </w:rPr>
        <w:t>Private Sale</w:t>
      </w:r>
      <w:r>
        <w:rPr>
          <w:rFonts w:ascii="Times New Roman;Times;Serif" w:hAnsi="Times New Roman;Times;Serif"/>
          <w:b w:val="false"/>
          <w:i w:val="false"/>
          <w:caps w:val="false"/>
          <w:smallCaps w:val="false"/>
          <w:sz w:val="20"/>
        </w:rPr>
        <w:t>. Each Debtor recognizes that the Collateral Agent may be unable to effect a public sale of any or all of the Collateral consisting of securities by reason of certain prohibitions contained in the Securities Act, and applicable state securities laws, but may be compelled to resort to one or more private sales thereof to a restricted group of purchasers who will be obliged to agree, among other things, to acquire such Collateral for their own account for investment and not with a view to the distribution or resale thereof. Each Debtor acknowledges and agrees that any such private sale may result in prices and other terms less favorable to the seller than if such sale were a public sale and each Debtor agrees that it is not commercially unreasonable for the Collateral Agent to engage in any such private sales or dispositions under such circumstances. The Collateral Agent shall be under no obligation to delay a sale of any of the Collateral to permit a Debtor to register such Collateral for public sale under the Act, or under applicable state securities laws, even if Debtors would agree to do so. The Collateral Agent shall not incur any liability as a result of the sale of any such Collateral, or any part thereof, at any private sale provided for in this Agreement conducted in a commercially reasonable manner, and so long as the Collateral Agent conducts such sale in a commercially reasonable manner each Debtor hereby waives any claims against the Collateral Agent or any Secured Party arising by reason of the fact that the price at which the Collateral may have been sold at such a private sale was less than the price which might have been obtained at a public sale or was less than the aggregate amount of the Obligations, even if the Collateral Agent accepts the first offer received and does not offer the Collateral to more than one offeree.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Debtor further agrees to do or cause to be done all such other acts and things as may be necessary to make such sale or sales of any portion or all of any such Collateral valid and binding and in compliance with any and all applicable laws, regulations, orders, writs, injunctions, decrees or awards of any and all courts, arbitrators or governmental instrumentalities, domestic or foreign, having jurisdiction over any such sale or sales, all at such Debtor’s expense. Each Debtor further agrees that a breach of any of the covenants contained in this Section 4.7 will cause irreparable injury to the Secured Parties, that the Secured Parties have no adequate remedy at law in respect of such breach and, as a consequence, agrees that each and every covenant contained in this Section 4.7 shall be specifically enforceable against Debtors by Collateral Agent of behalf of each Secured Party, and each Debtor hereby waives and agrees not to assert any defenses against an action for specific performance of such covenants except for a defense that no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4.8 </w:t>
      </w:r>
      <w:r>
        <w:rPr>
          <w:rFonts w:ascii="Times New Roman;Times;Serif" w:hAnsi="Times New Roman;Times;Serif"/>
          <w:b w:val="false"/>
          <w:i w:val="false"/>
          <w:caps w:val="false"/>
          <w:smallCaps w:val="false"/>
          <w:sz w:val="20"/>
          <w:u w:val="single"/>
        </w:rPr>
        <w:t>Application of Proceeds</w:t>
      </w:r>
      <w:r>
        <w:rPr>
          <w:rFonts w:ascii="Times New Roman;Times;Serif" w:hAnsi="Times New Roman;Times;Serif"/>
          <w:b w:val="false"/>
          <w:i w:val="false"/>
          <w:caps w:val="false"/>
          <w:smallCaps w:val="false"/>
          <w:sz w:val="20"/>
        </w:rPr>
        <w:t>. The proceeds of any collection, sale or other realization of all or any part of the Collateral, and any other cash at the time held by the Collateral Agent under this Agreement, shall be applied to the Obligations in accordance with the Pro Rata Portion of each Secured Party. “Pro Rata Portion” shall mean the ratio of (x) the subscription amount of the Note purchased by a Secured Party participating under this Section 4.8 and (y) the sum of the aggregate subscription amounts of the Note purchased by all Secured Parties participating under this Section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4.9 </w:t>
      </w:r>
      <w:r>
        <w:rPr>
          <w:rFonts w:ascii="Times New Roman;Times;Serif" w:hAnsi="Times New Roman;Times;Serif"/>
          <w:b w:val="false"/>
          <w:i w:val="false"/>
          <w:caps w:val="false"/>
          <w:smallCaps w:val="false"/>
          <w:sz w:val="20"/>
          <w:u w:val="single"/>
        </w:rPr>
        <w:t>Attorney-in-Fact</w:t>
      </w:r>
      <w:r>
        <w:rPr>
          <w:rFonts w:ascii="Times New Roman;Times;Serif" w:hAnsi="Times New Roman;Times;Serif"/>
          <w:b w:val="false"/>
          <w:i w:val="false"/>
          <w:caps w:val="false"/>
          <w:smallCaps w:val="false"/>
          <w:sz w:val="20"/>
        </w:rPr>
        <w:t>. Each Debtor hereby irrevocably constitutes and appoints the Collateral Agent, with full power of substitution, as its true and lawful attorney-in-fact with full irrevocable power and authority in the place and stead of such Debtor and in the name of such Debtor or in its own name, upon the occurrence and during the continuation of an Event of Default (except in connection with the perfection of the security interest granted to the Collateral Agent hereunder), from time to time in the discretion of the Collateral Agent, for the purpose of carrying out the terms of this Agreement, to take any and all appropriate action and to execute and deliver any and all documents and instruments which may be necessary or desirable to perfect or protect any security interest granted hereunder, to maintain the perfection or priority of any security interest granted hereunder, or to otherwise accomplish the purposes of this Agreement, and, without limiting the generality of the foregoing, hereby gives the Collateral Agent the power and right, on behalf of such Debtor, without notice to or assent by such Debtor (to the extent permitted by applicable law), to do the following upon the occurrence and during the continuation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to take any and all appropriate action and to execute and deliver any and all documents and instruments which may be necessary or desirable to accomplish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to ask, demand, collect, receive and give acquittance and receipts for any and all moneys due and to become due under any Collateral and, in the name of such Debtor or its own name or otherwise, to take possession of and endorse and collect any checks, drafts, notes, acceptances or other Instruments for the payment of moneys due under any Collateral and to file any claim or to take any other action or proceeding in any court of law or equity or otherwise deemed appropriate by the Collateral Agent for the purpose of collecting any and all such moneys due under any Collateral whenever payable and to file any claim or to take any other action or proceeding in any court of law or equity or otherwise deemed appropriate by the Collateral Agent for the purpose of collecting any and all such moneys due under any Collateral whenever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to pay or discharge charges or liens levied or placed on or threatened against the Collateral, to effect any insurance called for by the terms of this Agreement and to pay all or any part of the premiums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to direct any party liable for any payment under any of the Collateral to make payment of any and all moneys due, and to become due thereunder, directly to the Collateral Agent or as the Collateral Agent shall direct, and to receive payment of and receipt for any and all moneys, claims and other amounts due, and to become due at any time, in respect of or arising out of any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to sign and indorse any invoices, freight or express bills, bills of lading, storage or warehouse receipts, drafts against debtors, assignments, verifications and notices in connection with accounts and other Documents constituting or relating to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to commence and prosecute any suits, actions or proceedings at law or in equity in any court of competent jurisdiction to collect the Collateral or any part thereof and to enforce any other right in respect of any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to defend any suit, action or proceeding brought against a Debtor with respect to any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to settle, compromise or adjust any suit, action or proceeding described above and, in connection therewith, to give such discharges or releases as the Collateral Agent may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to the extent that a Debtor’s authorization given in Section 4.1(b) of this Agreement is not sufficient to file such financing statements with respect to this Agreement, with or without such Debtor’s signature, or to file a photocopy of this Agreement in substitution for a financing statement, as the Collateral Agent may deem appropriate and to execute in such Debtor’s name such financing statements and amendments thereto and continuation statements which may require such Debtor’s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generally to sell, transfer, pledge, make any agreement with respect to or otherwise deal with any of the Collateral as fully and completely as though the Collateral Agent were the absolute owners thereof for all purposes;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to do, at the Collateral Agent’s option and at such Debtor’s expense, at any time, or from time to time, all acts and things which the Collateral Agent reasonably deems necessary to protect or preserve or realize upon the Collateral and the Secured Parties’ Liens therein, in order to effect the intent of this Agreement, all as fully and effectively as such Debtor might 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Debtor hereby ratifies, to the extent permitted by law, all that such attorneys lawfully do or cause to be done by virtue hereof provided the same is performed in a commercially reasonable manner. The power of attorney granted hereunder is a power coupled with an interest and shall be irrevocable until the Obligations are indefeasibly paid in full in cash (other than Obligations which expressly survive by their terms and contingent indemnification Obligations) and this Agreement is terminated in accordance with Section 4.11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Debtor also authorizes the Collateral Agent, at any time from and after the occurrence and during the continuation of any Event of Default, (x) to communicate in its own name with any party to any Contract with regard to the assignment of the right, title and interest of such Debtor in and under the Contracts hereunder and other matters relating thereto and (y) to execute, in connection with any sale of Collateral provided for hereunder, any endorsements, assignments or other instruments of conveyance or transfer with respect to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4.10 </w:t>
      </w:r>
      <w:r>
        <w:rPr>
          <w:rFonts w:ascii="Times New Roman;Times;Serif" w:hAnsi="Times New Roman;Times;Serif"/>
          <w:b w:val="false"/>
          <w:i w:val="false"/>
          <w:caps w:val="false"/>
          <w:smallCaps w:val="false"/>
          <w:sz w:val="20"/>
          <w:u w:val="single"/>
        </w:rPr>
        <w:t>Perfection</w:t>
      </w:r>
      <w:r>
        <w:rPr>
          <w:rFonts w:ascii="Times New Roman;Times;Serif" w:hAnsi="Times New Roman;Times;Serif"/>
          <w:b w:val="false"/>
          <w:i w:val="false"/>
          <w:caps w:val="false"/>
          <w:smallCaps w:val="false"/>
          <w:sz w:val="20"/>
        </w:rPr>
        <w:t>. Prior to, concurrently with or following the execution and delivery of this Agreement, the Investor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file such financing statements, assignments for security and other documents in such offices as may be necessary or as the Collateral Agent or the Representative may request to perfect the security interests granted by Section 3 of this Agreement. The Debtors agree that notwithstanding the fact that certain of the Debtors are organized outside of the United States, the Collateral Agent may perfect its security interest by filings in the central state UCC depository in each state where assets of a Debtor are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at the Collateral Agent’s request, deliver to the Collateral Agent or its Representative the originals of all Instruments together with, in the case of Instruments constituting promissory notes, allonges attached thereto showing such promissory notes to be payable to the order of a blank payee;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If the Debtor has not done so, the Collateral Agent may do the actions set forth in clauses (a) and (b) above at any later time at the sole cost of the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4.11 </w:t>
      </w:r>
      <w:r>
        <w:rPr>
          <w:rFonts w:ascii="Times New Roman;Times;Serif" w:hAnsi="Times New Roman;Times;Serif"/>
          <w:b w:val="false"/>
          <w:i w:val="false"/>
          <w:caps w:val="false"/>
          <w:smallCaps w:val="false"/>
          <w:sz w:val="20"/>
          <w:u w:val="single"/>
        </w:rPr>
        <w:t>Termination; Partial Release of Collateral</w:t>
      </w:r>
      <w:r>
        <w:rPr>
          <w:rFonts w:ascii="Times New Roman;Times;Serif" w:hAnsi="Times New Roman;Times;Serif"/>
          <w:b w:val="false"/>
          <w:i w:val="false"/>
          <w:caps w:val="false"/>
          <w:smallCaps w:val="false"/>
          <w:sz w:val="20"/>
        </w:rPr>
        <w:t>. This Agreement and the Liens and security interests granted hereunder shall not terminate until the full and complete performance and indefeasible satisfaction of all of the Obligations (other than Obligations which expressly survive by their terms and contingent indemnification Obligations), whereupon the Collateral Agent shall forthwith cause to be assigned, transferred and delivered, against receipt but without any recourse, warranty or representation whatsoever, any remaining Collateral to or on the order of the Debtors. The Collateral Agent shall also execute and deliver to the Debtors upon such termination and at Debtors’ expense such UCC termination statements, certificates for terminating the Liens on the Motor Vehicles (if any) and such other documentation as shall be reasonably requested by the Debtors or otherwise necessary to effect the termination and release of all Liens and security interests in favor of the Collateral Agent affecting the Collateral. Notwithstanding anything to the contrary in this Agreement, upon full and complete satisfaction of the Obligations (other than Obligations which expressly survive by their terms and contingent indemnification Obligations), the Debtors’ obligations under this Agreement shall immediately terminate and any Liens shall thereupon be void. If any of the Collateral shall be sold, transferred to or otherwise disposed of by any Debtor in a transaction permitted by and in compliance with all applicable provisions of the applicable Transaction Document, then the Liens granted hereunder with respect to such Collateral shall be automatically released (unless otherwise specified herein or in the other Transaction Documents), all without delivery of any instrument or performance of any act by any party, and Collateral Agent shall, at the written request and sole expense of such Debtor, execute and deliver to such Debtor all releases or other documents reasonably necessary or reasonably desirable for the release of the Liens created hereby on such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At any time and from time to time, upon the written reasonable request of the Collateral Agent or its Representative, and at the sole expense of the Debtors, Debtors will promptly and duly execute and deliver any and all such further instruments, documents and agreements and take such further actions as the Collateral Agent or its Representative may reasonably require in order for the Collateral Agent to obtain the full benefits of this Agreement and of the rights and powers herein granted in favor of the Collateral Agent, including, without limitation, using the Debtors’ commercially reasonable efforts to secure all consents and approvals necessary or appropriate for the assignment to the Collateral Agent of any Collateral held by the Debtors or in which a Debtor has any rights not heretofore assigned, the filing of any financing or continuation statements under the UCC with respect to the Liens and security interests granted hereby, transferring Collateral to the Collateral Agent’s possession (if a security interest in such Collateral can be perfected by possession), placing the interest of the Collateral Agent as lienholder on the certificate of title of any Motor Vehicle, and obtaining waivers of liens from landlords and mortgagees. Each Debtor also hereby authorizes the Collateral Agent and its Representative to file any such financing or continuation statement without the signature of such Debtor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4.13 </w:t>
      </w:r>
      <w:r>
        <w:rPr>
          <w:rFonts w:ascii="Times New Roman;Times;Serif" w:hAnsi="Times New Roman;Times;Serif"/>
          <w:b w:val="false"/>
          <w:i w:val="false"/>
          <w:caps w:val="false"/>
          <w:smallCaps w:val="false"/>
          <w:sz w:val="20"/>
          <w:u w:val="single"/>
        </w:rPr>
        <w:t>Limitation on Duty of Secured Party</w:t>
      </w:r>
      <w:r>
        <w:rPr>
          <w:rFonts w:ascii="Times New Roman;Times;Serif" w:hAnsi="Times New Roman;Times;Serif"/>
          <w:b w:val="false"/>
          <w:i w:val="false"/>
          <w:caps w:val="false"/>
          <w:smallCaps w:val="false"/>
          <w:sz w:val="20"/>
        </w:rPr>
        <w:t>. The powers conferred on the Collateral Agent under this Agreement are solely to protect the Collateral Agent’s interest on behalf of itself and the other Secured Parties in the Collateral and shall not impose any duty upon it to exercise any such powers. The Collateral Agent shall be accountable only for amounts that it actually receives as a result of the exercise of such powers and neither the Collateral Agent nor its Representative nor any of their respective officers, directors, employees or agents shall be responsible to Debtors for any act or failure to act, except for gross negligence, bad faith or willful misconduct. Without limiting the foregoing, the Collateral Agent and any Representative shall be deemed to have exercised reasonable care in the custody and preservation of the Collateral in their possession if such Collateral is accorded treatment substantially equivalent to that which the Collateral Agent or any Representative, in its individual capacity, accords its own property consisting of the type of Collateral involved, it being understood and agreed that neither the Collateral Agent nor any Representative shall have any responsibility for taking any necessary steps (other than steps taken in accordance with the standard of care set forth above) to preserve rights against any Person with respect to any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without limiting the generality of the foregoing, neither the Collateral Agent nor any Representative shall have any obligation or liability under any Contract or license by reason of or arising out of this Agreement or the granting to the Collateral Agent of a security interest therein or assignment thereof or the receipt by the Collateral Agent or any Representative of any payment relating to any Contract or license pursuant hereto, nor shall the Collateral Agent or any Representative be required or obligated in any manner to perform or fulfill any of the obligations of Debtors under or pursuant to any Contract or license, or to make any payment, or to make any inquiry as to the nature or the sufficiency of any payment received by it or the sufficiency of any performance by any party under any Contract or license, or to present or file any claim, or to take any action to collect or enforce any performance or the payment of any amounts which may have been assigned to it or to which it may be entitled at any time or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 </w:t>
      </w: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No failure on the part of the Collateral Agent or any of its Representatives to exercise, and no course of dealing with respect to, and no delay in exercising, any right, power or remedy hereunder shall operate as a waiver thereof, nor shall any single or partial exercise by the Collateral Agent or any of its Representatives of any right, power or remedy hereunder preclude any other or further exercise thereof or the exercise of any other right, power or remedy. The rights and remedies hereunder provided are cumulative and may be exercised singly or concurrently, and are not exclusive of any rights and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Agreement shall be governed by and construed in accordance with the Purchase Agreement, without regard to the principles of conflicts of law principles, except that with respect to any cash or other Collateral, the rights of the Collateral Agent and the Secured Parties with respect thereto shall be subject to and governed by the internal laws of the jurisdiction in which the Collateral is located, as applicable, which for the avoidance of doubt for any Collateral located in the United States shall be the state or territory in which such Collateral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approvals, requests, demands and other communications hereunder shall be delivered or made in the manner set forth in, and shall be effective in accordance with the terms of, the Purchase Agreement. The Debtors and the Collateral Agent may change their respective notice addresses by written notice given to each other party five days prior to the effectiveness of such change. With respect to any notice to be given to the Debtors or any Debtor under this Agreement, such notice shall be deemed to have been given to all of the Debtors if given to the Company in accordance with the terms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5.4 </w:t>
      </w:r>
      <w:r>
        <w:rPr>
          <w:rFonts w:ascii="Times New Roman;Times;Serif" w:hAnsi="Times New Roman;Times;Serif"/>
          <w:b w:val="false"/>
          <w:i w:val="false"/>
          <w:caps w:val="false"/>
          <w:smallCaps w:val="false"/>
          <w:sz w:val="20"/>
          <w:u w:val="single"/>
        </w:rPr>
        <w:t>Amendments, Etc.</w:t>
      </w:r>
      <w:r>
        <w:rPr>
          <w:rFonts w:ascii="Times New Roman;Times;Serif" w:hAnsi="Times New Roman;Times;Serif"/>
          <w:b w:val="false"/>
          <w:i w:val="false"/>
          <w:caps w:val="false"/>
          <w:smallCaps w:val="false"/>
          <w:sz w:val="20"/>
        </w:rPr>
        <w:t xml:space="preserve"> The terms of this Agreement may be waived, altered or amended only by an instrument in writing duly executed by the Debtor sought to be charged or benefited thereby and the Secured Parties holding a majority of the outstanding principal of the Notes. Any such amendment or waiver shall be binding upon all the Secured Parties (including the Collateral Agent in its capacity as a Secured Party) and the Debtor(s) sought to be charged or benefited thereby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respective successors and assigns of each of the parties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no Debtor shall assign or transfer its rights hereunder without the prior written consent of each Secured Party. Any Secured Party, including the Collateral Agent in its capacity as a Secured Party, may assign its rights hereunder without the consent of the Debtors, in which event such assignee shall be deemed to be a Secured Party and/or the Collateral Agent, as applicable, hereunder with respect to such assigned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5.6 </w:t>
      </w:r>
      <w:r>
        <w:rPr>
          <w:rFonts w:ascii="Times New Roman;Times;Serif" w:hAnsi="Times New Roman;Times;Serif"/>
          <w:b w:val="false"/>
          <w:i w:val="false"/>
          <w:caps w:val="false"/>
          <w:smallCaps w:val="false"/>
          <w:sz w:val="20"/>
          <w:u w:val="single"/>
        </w:rPr>
        <w:t>Counterparts; Headings</w:t>
      </w:r>
      <w:r>
        <w:rPr>
          <w:rFonts w:ascii="Times New Roman;Times;Serif" w:hAnsi="Times New Roman;Times;Serif"/>
          <w:b w:val="false"/>
          <w:i w:val="false"/>
          <w:caps w:val="false"/>
          <w:smallCaps w:val="false"/>
          <w:sz w:val="20"/>
        </w:rPr>
        <w:t>. This Agreement may be authenticated in any number of counterparts, all of which taken together shall constitute one and the same instrument and any of the parties hereto may authenticate this Agreement by signing any such counterpart. This Agreement may be authenticated by manual signature or facsimile, .pdf or similar electronic signature, all of which shall be equally valid. The headings in this Agreement are for convenience of reference only and shall not alter or otherwise affect the meaning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hereof is invalid and unenforceable in any jurisdiction, then, to the fullest extent permitted by law, (a) the other provisions hereof shall remain in full force and effect in such jurisdiction and shall be liberally construed in favor of the Collateral Agent, its Representative and each other Secured Party (and all of their respective successors and assigns) in order to carry out the intentions of the parties hereto as nearly as may be possible and (b) the invalidity or unenforceability of any provision hereof in any jurisdiction shall not affect the validity or enforceability of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5.8 </w:t>
      </w:r>
      <w:r>
        <w:rPr>
          <w:rFonts w:ascii="Times New Roman;Times;Serif" w:hAnsi="Times New Roman;Times;Serif"/>
          <w:b w:val="false"/>
          <w:i w:val="false"/>
          <w:caps w:val="false"/>
          <w:smallCaps w:val="false"/>
          <w:sz w:val="20"/>
          <w:u w:val="single"/>
        </w:rPr>
        <w:t>Exclusive Jurisdiction</w:t>
      </w:r>
      <w:r>
        <w:rPr>
          <w:rFonts w:ascii="Times New Roman;Times;Serif" w:hAnsi="Times New Roman;Times;Serif"/>
          <w:b w:val="false"/>
          <w:i w:val="false"/>
          <w:caps w:val="false"/>
          <w:smallCaps w:val="false"/>
          <w:sz w:val="20"/>
        </w:rPr>
        <w:t>. Any action or proceeding arising out of, or relating in any way to, this Agreement shall be brought and enforced only as provided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5.9 </w:t>
      </w:r>
      <w:r>
        <w:rPr>
          <w:rFonts w:ascii="Times New Roman;Times;Serif" w:hAnsi="Times New Roman;Times;Serif"/>
          <w:b/>
          <w:i w:val="false"/>
          <w:caps w:val="false"/>
          <w:smallCaps w:val="false"/>
          <w:sz w:val="20"/>
          <w:u w:val="single"/>
        </w:rPr>
        <w:t>Waiver of Right to Trial by Jury</w:t>
      </w:r>
      <w:r>
        <w:rPr>
          <w:rFonts w:ascii="Times New Roman;Times;Serif" w:hAnsi="Times New Roman;Times;Serif"/>
          <w:b/>
          <w:i w:val="false"/>
          <w:caps w:val="false"/>
          <w:smallCaps w:val="false"/>
          <w:sz w:val="20"/>
        </w:rPr>
        <w:t>. Each Debtor and each Secured Party waive their respective rights to a trial by jury of any claim or cause of action based upon or arising out of or related to this Agreement or the transactions contemplated hereby, in any action, proceeding or other litigation of any type brought by any of the parties against any other party or parties, whether with respect to contract claims, tort claims, or otherwise. Each Debtor and each Secured Party agree that any such claim or cause of action shall be tried by a court trial without a jury. Without limiting the foregoing, the parties further agree that their respective right to a trial by jury is waived by operation of this Section 5.9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5.10 </w:t>
      </w:r>
      <w:r>
        <w:rPr>
          <w:rFonts w:ascii="Times New Roman;Times;Serif" w:hAnsi="Times New Roman;Times;Serif"/>
          <w:b w:val="false"/>
          <w:i w:val="false"/>
          <w:caps w:val="false"/>
          <w:smallCaps w:val="false"/>
          <w:sz w:val="20"/>
          <w:u w:val="single"/>
        </w:rPr>
        <w:t>Joint and Several</w:t>
      </w:r>
      <w:r>
        <w:rPr>
          <w:rFonts w:ascii="Times New Roman;Times;Serif" w:hAnsi="Times New Roman;Times;Serif"/>
          <w:b w:val="false"/>
          <w:i w:val="false"/>
          <w:caps w:val="false"/>
          <w:smallCaps w:val="false"/>
          <w:sz w:val="20"/>
        </w:rPr>
        <w:t>. The obligations, covenants and agreements of the Debtors hereunder shall be the joint and several obligations, covenants and agreements of each Debtor, whether or not specifically stated herein without preferences or distinction among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5.11 </w:t>
      </w:r>
      <w:r>
        <w:rPr>
          <w:rFonts w:ascii="Times New Roman;Times;Serif" w:hAnsi="Times New Roman;Times;Serif"/>
          <w:b w:val="false"/>
          <w:i w:val="false"/>
          <w:caps w:val="false"/>
          <w:smallCaps w:val="false"/>
          <w:sz w:val="20"/>
          <w:u w:val="single"/>
        </w:rPr>
        <w:t>Collateral Agent and Secured Parties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Secured Party hereby designates and appoints the Collateral Agent as the collateral agent and the administrative agent of such Secured Party under this Agreement and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Nothing in this Section 5.11 shall be deemed to limit or otherwise affect the rights of the Collateral Agent to exercise any remedy provided in this Agreement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If pursuant to any Transaction Document a Secured Party (including the Collateral Agent) is given the discretion to allocate proceeds received by such Secured Party (including the Collateral Agent) pursuant to the exercise of remedies under the Transaction Documents or at law or in equity (including without limitation with respect to any secured creditor remedies exercised against the Collateral and any other collateral security provided for under any Transaction Document), the Collateral Agent shall apply such proceeds to the then outstanding Obligations in the following order of priority (with amounts received being applied in the numerical order set forth below until exhausted prior to the application to the next succeeding category and each Secured Party entitled to payment shall receive an amount equal to its Pro Rata Portion of amounts available to be applied pursuant to clauses second, third and fourth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payment of fees, costs and expenses (including reasonable attorney’s fees) owing to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payment of all accrued unpaid interest and fees (other than fees owing to Collateral Agent) on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payment of principal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to payment of any other amounts owing constituting Obligations;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any remainder shall be for the account of and paid to whoever may be lawfully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Each Debtor agrees, jointly and severally, to indemnify, defend and hold harmless the Collateral Agent (both in its capacity as collateral agent hereunder and as a Secured Party), every other Secured Party, their respective successors and assigns and all of their respective officers, directors, shareholders, members, managers, partners, employees, attorneys and agents, and any Person in control of any thereof (collectively, the “Indemnitees”), from and against any claims, debts, liabilities, losses, demands, obligations, actions, causes of action, fines, penalties, reasonable and documented out of pocket costs and expenses (including attorneys’ fees and consultants’ fees), of every nature, character and description (each, an “Indemnified Liability” and collectively the “Indemnified Liabilities”), under federal and state securities laws or otherwise insofar as such Indemnified Liability arises out of or is based upon any of the transactions contemplated by this Agreement, any other Transaction Document, any of the Obligations, or any other cause or thing whatsoever occurred, done, omitted or suffered to be done by a Debtor relating to any Secured Party or the Obligations (except any such amounts sustained or incurred solely as the result of the bad faith or willful misconduct of such Indemnitees, as finally determined by a court of competent jurisdiction); but limited, in the case of legal fees and expenses, to one counsel to all such Indemnitees, taken as a whole and, solely in the case of an actual or potential conflict of interest, one additional counsel to all affected Indemnitees, taken as a whole (and, if reasonably necessary, one local counsel in any relevant jurisdiction to all such Persons, taken as a whole and, solely in the case of any such an actual or potential conflict of interest, one additional local counsel to all affected Indemnitees taken as a whole, in each such relevant jurisdiction)). If and to the extent that the foregoing undertakings in this paragraph may be unenforceable for any reason, each Debtor agrees to jointly and severally make the maximum contribution to the payment and satisfaction of each of the Indemnified Liabilities which is permissible under applicable law. The obligations of each Debtor under this Section 5.11(d) shall survive any termination of this Agreement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5.12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5.13 </w:t>
      </w:r>
      <w:r>
        <w:rPr>
          <w:rFonts w:ascii="Times New Roman;Times;Serif" w:hAnsi="Times New Roman;Times;Serif"/>
          <w:b/>
          <w:i w:val="false"/>
          <w:caps w:val="false"/>
          <w:smallCaps w:val="false"/>
          <w:sz w:val="20"/>
          <w:u w:val="single"/>
        </w:rPr>
        <w:t>Entire Agreement; Amendment</w:t>
      </w:r>
      <w:r>
        <w:rPr>
          <w:rFonts w:ascii="Times New Roman;Times;Serif" w:hAnsi="Times New Roman;Times;Serif"/>
          <w:b/>
          <w:i w:val="false"/>
          <w:caps w:val="false"/>
          <w:smallCaps w:val="false"/>
          <w:sz w:val="20"/>
        </w:rPr>
        <w:t>. This Agreement, together with the other transaction documents, supersedes all other prior oral or written agreements between the Secured Parties, the Collateral Agent, the Debtors, their affiliates and persons acting on their behalf with respect to the matters discussed herein, and this Agreement, together with the other transaction documents and the other instruments referenced herein and therein, contain the entire understanding of the parties with respect to the matters covered herein and therein and, except as specifically set forth herein or therein, neither the secured party nor any Debtor makes any representation, warranty, covenant or undertaking with respect to such matters. As of the date of this Agreement, there are no unwritten agreements between the parties with respect to the matters discussed herein. No provision of this Agreement may be amended, modified or supplemented other than by an instrument in writing signed by the Debtors and the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Remainder of Page Intentionally Left Blank; Signature Page Follows </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Security Agreement to be duly executed and delivered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6499" w:type="dxa"/>
        <w:jc w:val="left"/>
        <w:tblInd w:w="0" w:type="dxa"/>
        <w:tblLayout w:type="fixed"/>
        <w:tblCellMar>
          <w:top w:w="0" w:type="dxa"/>
          <w:left w:w="0" w:type="dxa"/>
          <w:bottom w:w="0" w:type="dxa"/>
          <w:right w:w="0" w:type="dxa"/>
        </w:tblCellMar>
      </w:tblPr>
      <w:tblGrid>
        <w:gridCol w:w="2319"/>
        <w:gridCol w:w="4105"/>
        <w:gridCol w:w="75"/>
      </w:tblGrid>
      <w:tr>
        <w:trPr/>
        <w:tc>
          <w:tcPr>
            <w:tcW w:w="64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DEBTORS</w:t>
            </w: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642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4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AS A DEED BY:</w:t>
            </w:r>
          </w:p>
        </w:tc>
        <w:tc>
          <w:tcPr>
            <w:tcW w:w="75" w:type="dxa"/>
            <w:tcBorders/>
            <w:vAlign w:val="center"/>
          </w:tcPr>
          <w:p>
            <w:pPr>
              <w:pStyle w:val="TableContents"/>
              <w:bidi w:val="0"/>
              <w:spacing w:before="0" w:after="283"/>
              <w:jc w:val="left"/>
              <w:rPr/>
            </w:pPr>
            <w:r>
              <w:rPr/>
              <w:t> </w:t>
            </w:r>
          </w:p>
        </w:tc>
      </w:tr>
      <w:tr>
        <w:trPr/>
        <w:tc>
          <w:tcPr>
            <w:tcW w:w="642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4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Baird Medical Investment Holdings Ltd, a Cayman Islands exempted company</w:t>
            </w:r>
          </w:p>
        </w:tc>
        <w:tc>
          <w:tcPr>
            <w:tcW w:w="75" w:type="dxa"/>
            <w:tcBorders/>
            <w:vAlign w:val="center"/>
          </w:tcPr>
          <w:p>
            <w:pPr>
              <w:pStyle w:val="TableContents"/>
              <w:bidi w:val="0"/>
              <w:spacing w:before="0" w:after="283"/>
              <w:jc w:val="left"/>
              <w:rPr/>
            </w:pPr>
            <w:r>
              <w:rPr/>
              <w:t> </w:t>
            </w:r>
          </w:p>
        </w:tc>
      </w:tr>
      <w:tr>
        <w:trPr/>
        <w:tc>
          <w:tcPr>
            <w:tcW w:w="642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319" w:type="dxa"/>
            <w:tcBorders/>
            <w:vAlign w:val="center"/>
          </w:tcPr>
          <w:p>
            <w:pPr>
              <w:pStyle w:val="TableContents"/>
              <w:bidi w:val="0"/>
              <w:spacing w:before="0" w:after="283"/>
              <w:jc w:val="left"/>
              <w:rPr>
                <w:caps w:val="false"/>
                <w:smallCaps w:val="false"/>
              </w:rPr>
            </w:pPr>
            <w:r>
              <w:rPr>
                <w:caps w:val="false"/>
                <w:smallCaps w:val="false"/>
              </w:rPr>
              <w:t> </w:t>
            </w:r>
          </w:p>
        </w:tc>
        <w:tc>
          <w:tcPr>
            <w:tcW w:w="4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2319" w:type="dxa"/>
            <w:tcBorders/>
            <w:vAlign w:val="center"/>
          </w:tcPr>
          <w:p>
            <w:pPr>
              <w:pStyle w:val="TableContents"/>
              <w:bidi w:val="0"/>
              <w:spacing w:before="0" w:after="283"/>
              <w:jc w:val="left"/>
              <w:rPr>
                <w:caps w:val="false"/>
                <w:smallCaps w:val="false"/>
              </w:rPr>
            </w:pPr>
            <w:r>
              <w:rPr>
                <w:caps w:val="false"/>
                <w:smallCaps w:val="false"/>
              </w:rPr>
              <w:t> </w:t>
            </w:r>
          </w:p>
        </w:tc>
        <w:tc>
          <w:tcPr>
            <w:tcW w:w="4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r>
        <w:trPr/>
        <w:tc>
          <w:tcPr>
            <w:tcW w:w="642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4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Baird Medical LLC</w:t>
            </w:r>
          </w:p>
        </w:tc>
        <w:tc>
          <w:tcPr>
            <w:tcW w:w="75" w:type="dxa"/>
            <w:tcBorders/>
            <w:vAlign w:val="center"/>
          </w:tcPr>
          <w:p>
            <w:pPr>
              <w:pStyle w:val="TableContents"/>
              <w:bidi w:val="0"/>
              <w:spacing w:before="0" w:after="283"/>
              <w:jc w:val="left"/>
              <w:rPr/>
            </w:pPr>
            <w:r>
              <w:rPr/>
              <w:t> </w:t>
            </w:r>
          </w:p>
        </w:tc>
      </w:tr>
      <w:tr>
        <w:trPr/>
        <w:tc>
          <w:tcPr>
            <w:tcW w:w="642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319" w:type="dxa"/>
            <w:tcBorders/>
            <w:vAlign w:val="center"/>
          </w:tcPr>
          <w:p>
            <w:pPr>
              <w:pStyle w:val="TableContents"/>
              <w:bidi w:val="0"/>
              <w:spacing w:before="0" w:after="283"/>
              <w:jc w:val="left"/>
              <w:rPr>
                <w:caps w:val="false"/>
                <w:smallCaps w:val="false"/>
              </w:rPr>
            </w:pPr>
            <w:r>
              <w:rPr>
                <w:caps w:val="false"/>
                <w:smallCaps w:val="false"/>
              </w:rPr>
              <w:t> </w:t>
            </w:r>
          </w:p>
        </w:tc>
        <w:tc>
          <w:tcPr>
            <w:tcW w:w="4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2319" w:type="dxa"/>
            <w:tcBorders/>
            <w:vAlign w:val="center"/>
          </w:tcPr>
          <w:p>
            <w:pPr>
              <w:pStyle w:val="TableContents"/>
              <w:bidi w:val="0"/>
              <w:spacing w:before="0" w:after="283"/>
              <w:jc w:val="left"/>
              <w:rPr>
                <w:caps w:val="false"/>
                <w:smallCaps w:val="false"/>
              </w:rPr>
            </w:pPr>
            <w:r>
              <w:rPr>
                <w:caps w:val="false"/>
                <w:smallCaps w:val="false"/>
              </w:rPr>
              <w:t> </w:t>
            </w:r>
          </w:p>
        </w:tc>
        <w:tc>
          <w:tcPr>
            <w:tcW w:w="4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69" w:type="dxa"/>
        <w:jc w:val="left"/>
        <w:tblInd w:w="0" w:type="dxa"/>
        <w:tblLayout w:type="fixed"/>
        <w:tblCellMar>
          <w:top w:w="0" w:type="dxa"/>
          <w:left w:w="0" w:type="dxa"/>
          <w:bottom w:w="0" w:type="dxa"/>
          <w:right w:w="0" w:type="dxa"/>
        </w:tblCellMar>
      </w:tblPr>
      <w:tblGrid>
        <w:gridCol w:w="75"/>
        <w:gridCol w:w="749"/>
        <w:gridCol w:w="1445"/>
      </w:tblGrid>
      <w:tr>
        <w:trPr/>
        <w:tc>
          <w:tcPr>
            <w:tcW w:w="75"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 AGENT:</w:t>
            </w:r>
          </w:p>
        </w:tc>
      </w:tr>
      <w:tr>
        <w:trPr/>
        <w:tc>
          <w:tcPr>
            <w:tcW w:w="75"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              ]</w:t>
            </w:r>
          </w:p>
        </w:tc>
      </w:tr>
      <w:tr>
        <w:trPr/>
        <w:tc>
          <w:tcPr>
            <w:tcW w:w="75"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sz w:val="20"/>
              </w:rPr>
            </w:pPr>
            <w:r>
              <w:rPr>
                <w:sz w:val="20"/>
              </w:rPr>
              <w:t>By:</w:t>
            </w:r>
          </w:p>
        </w:tc>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w:t>
            </w:r>
          </w:p>
        </w:tc>
      </w:tr>
      <w:tr>
        <w:trPr/>
        <w:tc>
          <w:tcPr>
            <w:tcW w:w="75"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              ]</w:t>
            </w:r>
          </w:p>
        </w:tc>
      </w:tr>
      <w:tr>
        <w:trPr/>
        <w:tc>
          <w:tcPr>
            <w:tcW w:w="75"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sz w:val="20"/>
              </w:rPr>
            </w:pPr>
            <w:r>
              <w:rPr>
                <w:sz w:val="20"/>
              </w:rPr>
              <w:t>By:</w:t>
            </w:r>
          </w:p>
        </w:tc>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0" w:name="tm2626149d1_ex10-4.htm"/>
      <w:bookmarkStart w:id="11" w:name="kstm2626149d1_ex104"/>
      <w:bookmarkEnd w:id="10"/>
      <w:bookmarkEnd w:id="1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PLEDGE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THIS PLEDGE AGREEMENT made as of September [   ], 2026 (as amended, restated, supplemented or otherwise modified from time to time, this “Agreement”), by and between Baird Medical Investment Holdings Limited, a Cayman Islands exempted company (the “Pledgor”) and [                  ], in its capacity as agent (“Collateral Agent”) for itself as an Investor (together with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Pledgor has executed and delivered to the Investor identified in that certain Purchase Agreement (as defined below) (and together with its successors and assigns and each other purchaser of a Note (as defined in the Purchase Agreement) and their respective successors and assigns, individually the “Investor”) that certain Note made by the Company in an original aggregate principal amount of $4,347,826, by and between the Pledgor and the Investor (as the same may be amended, restated, supplemented or otherwise modified,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Pledgor legally and beneficially owns the interests specified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and each other corporation or other entity, the capital stock or other equity interests and securities (any, “Securities”) of which are owned or acquired by the Pledgor and described on an addendum hereto from time-to-time executed by the Pledgor in form and substance satisfactory to the Collateral Agent (each such entity is referred to herein as a “Pledge Entity” and collectively as the “Pledge Entities,” which shall include Baird Medical LLC, a wholly owned subsidiary of the Pledgor and all other Subsidiaries of Pledgor formed, registered, incorporated or acquired after the date hereof which have any assets located in or which are otherwise subject to the jurisdiction of any state or territory of the United States during the time this Agreement remains in effect);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parties hereto agree that, as of the date hereof, the Pledge Entities specified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are the only Pledge Entities. The failure to execute an addendum shall not relieve the Pledgor of its obligation to pledge any after acquired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a Security Agreement dated as of the date of this Agreement by and among the Collateral Agent, the Pledgor and the other entities party thereto as “Debtors” (as the same may be amended, restated, modified or supplement and in effect from time to time, the “Security Agreement”), the Pledgor and each other Debtor has granted the Collateral Agent, for its benefit as the Investor, a security interest in, lien upon and pledge of all of such Pledgor’s or other Debtor’s rights in such Pledgor’s or other Debtor’s Collateral (as defined in the Security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to induce the Investor to enter into the Purchase Agreement, to purchase the Note and any Additional Notes and to make the financial accommodations available to the Pledgor under the Purchase Agreement, and in order to secure the payment and performance by the Pledgor of the Obligations (as defined in the Security Agreement), the Pledgor has agreed to pledge to the Collateral Agent, for the benefit of itself and the other Investors, the Securities (the “ Equity ”) of the Pledge Entities now or hereafter owned or acquired by such Pledgor to secure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in order to induce the Investor to purchase the Note under the Purchase Agreement and for other good and valuable consideration, the receipt and sufficiency of which are hereby acknowledged, the Pledgor hereby agrees with the Collateral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Unless otherwise defined or referenced herein, all capitalized words and phrases used herein shall have the meanings given them in the Purchase Agreement. In addition, as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Obligations” shall mean all obligations arising under the Note including but not limited to the principal, accrued interest, and other sums due under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All references to a “Investor” or “Investors” hereunder shall include the Collateral Agent acting in its capacity as the Investor. For clarity, because the Collateral Agent is the sole Investor under the Purchase Agreement, the parties acknowledge that notwithstanding references to Collateral Agent or Investor in this Agreement, the term “Collateral Agent” refers to the Investor, and the terms “Investor” or “Investors” refers to the Collateral Agent, unless one or more third parties acquire a portion of the Note in which case the Investor shall act as Collateral Agent for all parties who hold such Notes in accordance with this Agreement, and their respective successors and assigns. In such event, the Collateral Agent may require amendments to the applicable Transaction Documents to reflect the inclusion of additional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u w:val="single"/>
        </w:rPr>
        <w:t>Pledge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The Pledgor hereby pledges, assigns, hypothecates, transfers, delivers and grants to the Collateral Agent, for the benefit of itself and the other Investors, a first lien on and first priority perfected security interest in (i) all of the Equity of the Pledge Entities now owned or hereafter acquired by such Pledgor (collectively, the “Pledged Interests”), (ii) any other shares of Equity hereafter pledged or referred to be pledged to the Collateral Agent pursuant to this Agreement; (iii) all “investment property” as such term is defined in §9-102(a)(49) of the UCC (as defined below) with respect thereto; (iv) any “security entitlement” as such term is defined in § 8-102(a)(17) of the UCC with respect thereto; (v) all books and records relating to the foregoing; and (vi) all Accessions and Proceeds (as each is defined in the UCC) of the foregoing, including, without limitation, all distributions (cash, stock, or otherwise), dividends, stock dividends, securities, cash, instruments, rights to subscribe, purchase, or sell, and other property, rights, and interest that such Pledgor is at any time entitled to receive or is otherwise distributed in respect of, or in exchange for, any or all of the Pledged Collateral (as defined below), and without affecting the obligations of the Pledgor under any provision of the Security Agreement, in the event of any consolidation or merger in which the Pledgor is not the surviving corporation, all shares of each class or Equity of the successor entity formed by or resulting from such consolidation or merger (the collateral described in clauses (i) through (vi) of this Section 2 being collectively referred to as the “Pledged Collateral”), as collateral security for the prompt and complete payment and performance when due (whether at the stated maturity, by acceleration or otherwise) of the Obligations. All of the Pledged Interests owned as of the date hereof by the Pledgor, which are presently represented by certificates, are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which certificates, with undated assignments separate from the certificates or capital stock/membership interest powers duly executed in blank by such Pledgor and to the extent such certificates are available and not covered by an existing lien or pledge, or irrevocable proxies, are being delivered to the Collateral Agent simultaneously with the execution of this Agreement. Upon the creation or acquisition of any new Pledged Interests, to the extent such certificates are available and not covered by an existing lien or pledge, the Pledgor shall execute an Addendum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(a “Pledge Addendum”). and deliver the original certificates for the Equity to the Collateral Agent. Any Pledged Collateral described in a Pledge Addendum executed by the Pledgor shall thereafter be deemed to be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Upon delivery to the Collateral Agent, the Collateral Agent shall maintain possession and custody of the certificates representing the Pledged Interests and any additional Pledged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Each Pledged Interest consisting of either (i) a membership interest in a Person that is a limited liability company or (ii) a partnership interest in a Person that is a partnership (if any) (1) is not and will not be evidenced by a certificate and (2) is not and will not be deemed a “security” governed by Article 8 of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u w:val="single"/>
        </w:rPr>
        <w:t>Representations and Warranties of Pledgor</w:t>
      </w:r>
      <w:r>
        <w:rPr>
          <w:rFonts w:ascii="Times New Roman;Times;Serif" w:hAnsi="Times New Roman;Times;Serif"/>
          <w:b w:val="false"/>
          <w:i w:val="false"/>
          <w:caps w:val="false"/>
          <w:smallCaps w:val="false"/>
          <w:sz w:val="20"/>
        </w:rPr>
        <w:t>. The Pledgor represents and warrants to the Collateral Agent, and covenants with the Collateral Agent,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As of the date hereof, and as of the date of any Pledge Addendum,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sets forth (i) the authorized capital stock, shares and other equity interests of each Pledge Entity, (ii) the number of shares, shares of capital stock and other equity interests of each Pledge Entity that are issued and outstanding as of the date hereof, and (iii) the percentage of the issued and outstanding shares of capital stock and other equity interests of each Pledge Entity held by such Pledgor. Such Pledgor is the record and beneficial owner of, and has good and marketable title to, the Pledged Interests of such Pledgor, and such shares are and will remain free and clear of all pledges, liens, security interests and other encumbrances and restrictions whatsoever, except the liens and security interests in favor of the Collateral Agent created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As of the date hereof, or as of the date of any Pledge Addendum, except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there are no outstanding options, warrants or other similar agreements with respect to the Pledged Interests or any of the other Pledged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This Agreement is the legal, valid and binding obligation of the Pledgor, enforceable against the Pledgor in accordance with its terms except to the extent that such enforceability is subject to applicable bankruptcy, insolvency, reorganization, fraudulent conveyance and moratorium laws and other laws of general application affecting enforcement of creditors’ rights generally, or the availability of equitable remedies, which are subject to the discretion of the court before which an action may be brought;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The Pledged Interests have been duly and validly authorized and issued, are fully paid and non-assessable, and the Pledged Interests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as of the date hereof, and as of the date of any Pledge Addendum, constitute all of the issued and outstanding capital stock or other equity interests of the Pledge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No consent, approval or authorization of or designation or filing with any Governmental Authority on the part of the Pledgor is required in connection with the pledge and security interest granted under this Agreement which consent, approval, authorization, designation or filing has not been made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execution, delivery and performance of this Agreement will not violate any provision of any applicable law or regulation or of any order, judgment, writ, award or decree of any Governmental Authority, which are applicable to the Pledgor, or of the articles or certificate of incorporation, certificate of formation, bylaws or any other similar organizational documents of the Pledgor or any Pledge Entity or of any securities issued by the Pledgor or any Pledge Entity of any mortgage, indenture, lease, contract, or other agreement, instrument or undertaking to which the Pledgor or any Pledge Entity is a party or which is binding upon the Pledgor or any Pledge Entity or upon any of the assets of the Pledgor or any Pledge Entity, and will not result in the creation or imposition of any lien, charge or encumbrance on or security interest in any of the assets of the Pledgor or any Pledge Entity, except as otherwise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The pledge, assignment and delivery of the Pledged Interests and the other Pledged Collateral pursuant to this Agreement creates a valid first lien on and perfected first priority security interest in such Pledged Interests and Pledged Collateral and the proceeds thereof in favor of the Collateral Agent. Until this Agreement is terminated pursuant to Section 11 hereof, the Pledgor covenants and agrees that it will defend, for the benefit of the Collateral Agent and each other Investor, the Collateral Agent’s right, title and security interest in and to the Pledged Interests, the other Pledged Collateral and the proceeds thereof against the claims and demands of all other Persons;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Neither the Pledgor nor any Pledge Entity (i) will become a Person whose property or interests in property are blocked or subject to blocking pursuant to Section 1 of Executive Order 13224 of September 23, 2001 Blocking Property and Prohibiting Transactions with Persons Who Commit, Threaten to Commit or Support Terrorism (66 Fed. Reg. 49079(2001), (ii) will engage in any dealings or transactions prohibited by Section 2 of such executive order, or (iii) will otherwise become a Person on the list of Specially Designated Nationals and Blocked Persons or subject to the limitations or prohibitions under any other Office of Foreign Asset Control regulation or executive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u w:val="single"/>
        </w:rPr>
        <w:t>Dividends, Distributions, Etc.</w:t>
      </w:r>
      <w:r>
        <w:rPr>
          <w:rFonts w:ascii="Times New Roman;Times;Serif" w:hAnsi="Times New Roman;Times;Serif"/>
          <w:b w:val="false"/>
          <w:i w:val="false"/>
          <w:caps w:val="false"/>
          <w:smallCaps w:val="false"/>
          <w:sz w:val="20"/>
        </w:rPr>
        <w:t xml:space="preserve"> If, prior to irrevocable repayment in full in cash of the Obligations (other than Obligations which expressly survive termination of this Agreement by their terms which shall include without limitation any contingent indemnification Obligations), the Pledgor shall receive any certificate (including, without limitation, any certificate representing a dividend or a distribution in connection with any reclassification, increase or reduction of capital, or issued in connection with any reorganization, merger or consolidation), or any options or rights, whether as an addition to, in substitution for, or in exchange for any of the Pledged Interests or otherwise, such Pledgor agrees, in each case, to accept the same as the Collateral Agent’s agent and to hold the same in trust for the Collateral Agent, and to deliver the same promptly (but in any event within five days) to the Collateral Agent in the exact form received, with the endorsement of such Pledgor when necessary and/or with appropriate undated assignments separate from certificates or stock powers duly executed in blank, to be held by the Collateral Agent subject to the terms hereof, as additional Pledged Collateral. The Pledgor shall promptly deliver to the Collateral Agent (i) a Pledge Addendum with respect to such additional certificates, and (ii) any financing statements or amendments to financing statements as requested by the Collateral Agent. The Pledgor hereby authorizes the Collateral Agent to attach each such Pledge Addendum to this Agreement. Except as provided in Section 5(b) below, all sums of money and property so paid or distributed in respect of the Pledged Interests which are received by the Pledgor shall, until paid or delivered to the Collateral Agent, be held by the Pledgor in trust as additional Pledged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u w:val="single"/>
        </w:rPr>
        <w:t>Voting Rights; Dividends;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So long as no Event of Default (as defined in the Note) has occurred and is continuing, the Pledgor shall be entitled (subject to the other provisions hereof, including, without limitation, Section 8 below) to exercise its voting and other consensual rights with respect to the Pledged Interests and otherwise exercise the incidents of ownership thereof in any manner not inconsistent with this Agreement, the Purchase Agreement and/or any of the other Transaction Documents. The Pledgor hereby grants to the Pledgee or its nominee, an irrevocable proxy to exercise all voting, corporate and limited liability company rights relating to the Pledged Interests in any instance, which proxy shall be effective, at the discretion of the Collateral Agent, upon the occurrence and during the continuance of an Event of Default. Upon the request of the Collateral Agent at any time, the Pledgor agrees to deliver to the Collateral Agent such further evidence of such irrevocable proxy or such further irrevocable proxies to vote the Pledged Interests as the Collateral Agent may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So long as no Event of Default shall have occurred and be continuing, the Pledgor shall be entitled to receive cash dividends or other distributions made in respect of the Pledged Interests, to the extent permitted to be made pursuant to the terms of the Note and the Purchase Agreement. Upon the occurrence and during the continuance of an Event of Default, in the event that the Pledgor, as record and beneficial owner of the Pledged Interests, shall have received or shall have become entitled to receive, any cash dividends or other distributions in the ordinary course, such Pledgor shall deliver to the Collateral Agent, and the Collateral Agent shall be entitled to receive and retain, for the benefit of itself and the other Investors, all such cash or other distributions as additional security for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Subject to any sale or other disposition by the Collateral Agent of the Pledged Interests, any other Pledged Collateral or other property pursuant to this Agreement, upon the indefeasible full payment in cash, satisfaction and termination of all of the Obligations (other than Obligations which expressly survive termination of this Agreement by their terms which shall include without limitation any contingent indemnification Obligations) and the termination of this Agreement pursuant to Section 11 hereof and of the liens and security interests hereby granted, the Pledged Interests, the other Pledged Collateral and any other property then held as part of the Pledged Collateral in accordance with the provisions of this Agreement shall be returned to the Pledgor or to such other Persons as shall be legally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Pledgor shall cause all Pledged Interests (other than the Pledged Interests consisting of limited liability company and partnership interests) to be certificated at all times while this Agreement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u w:val="single"/>
        </w:rPr>
        <w:t>Rights of Collateral Agent</w:t>
      </w:r>
      <w:r>
        <w:rPr>
          <w:rFonts w:ascii="Times New Roman;Times;Serif" w:hAnsi="Times New Roman;Times;Serif"/>
          <w:b w:val="false"/>
          <w:i w:val="false"/>
          <w:caps w:val="false"/>
          <w:smallCaps w:val="false"/>
          <w:sz w:val="20"/>
        </w:rPr>
        <w:t>. The Collateral Agent shall not be liable for failure to collect or realize upon the Obligations or any collateral security or guaranty therefor, or any part thereof, or for any delay in so doing, nor shall the Collateral Agent be under any obligation to take any action whatsoever with regard thereto. Any or all of the Pledged Interests held by the Collateral Agent hereunder may, if an Event of Default has occurred and is continuing, without notice, be registered in the name of the Collateral Agent or its nominee, and the Collateral Agent or its nominee may thereafter without notice exercise all voting and corporate rights at any meeting with respect to any Pledge Entity and exercise any and all rights of conversion, exchange, subscription or any other rights, privileges or options pertaining to any of the Pledged Interests as if it were the absolute owner thereof, including, without limitation, the right to vote in favor of, and to exchange at its discretion any and all of the Pledged Interests upon the merger, consolidation, reorganization, recapitalization or other readjustment with respect to any Pledge Entity or upon the exercise by any Pledge Entity, the Pledgor or the Collateral Agent of any right, privilege or option pertaining to any of the Pledged Interests, and in connection therewith, to deposit and deliver any and all of the Pledged Interests with any committee, depository, transfer agent, registrar or other designated agency upon such terms and conditions as the Collateral Agent may reasonably determine, all without liability except to account for property actually received by the Collateral Agent, but the Collateral Agent shall have no duty to exercise any of the aforesaid rights, privileges or options and shall not be responsible for any failure to do so or delay in so doing.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Upon the occurrence and during the continuance of an Event of Default, the Collateral Agent may exercise in respect of the Pledged Collateral, in addition to other rights and remedies provided for herein or otherwise available to it, all the rights and remedies of a secured party under the Uniform Commercial Code (or equivalent or similar code or law in the case of foreign jurisdictions (the “UCC”) of the jurisdiction applicable to the affected Pledged Collateral from time-to-time. Without limiting the foregoing, the Collateral Agent may, without demand of performance or other demand, advertisement or notice of any kind (except the notice specified below of time and place of public or private sale) to or upon the Pledgor or any other Person (all and each of which demands, advertisements and/or notices are hereby expressly waived), upon the occurrence and during the continuance of an Event of Default forthwith collect, receive, appropriate and realize upon the Pledged Collateral, or any part thereof, and/or may forthwith date and otherwise fill in the blanks on any assignments separate from certificates or stock powers or otherwise sell, assign, give an option or options to purchase, contract to sell or otherwise dispose of and deliver said Pledged Collateral, or any part thereof, in one or more portions at one or more public or private sales or dispositions, at any exchange or broker’s board or at any of the Collateral Agent’s offices or elsewhere upon such terms and conditions as the Collateral Agent may deem advisable and at such prices as it may deem best, for any combination of cash and/or securities or other property or on credit or for future delivery without assumption of any credit risk, with the right to the Collateral Agent upon any such sale, public or private, to purchase the whole or any part of said Pledged Collateral so sold, free of any right or equity of redemption in the Pledgor, which right or equity is hereby expressly waived or released. The Collateral Agent shall apply the net proceeds of any such collection, recovery, receipt, appropriation, realization, sale or disposition, after deducting all costs and expenses of every kind incurred therein or incidental thereto pursuant to Section 5.11(c) of the Security Agreement. The Pledgor shall remain liable for any deficiency remaining unpaid after such application. Only after so paying over such net proceeds and after the payment by the Collateral Agent of any other amount required by any provision of law, including, without limitation, Section 9-608 of the UCC, need the Collateral Agent account for the surplus, if any, to the Pledgor. The Pledgor agrees that the Collateral Agent need not give more than 10 days’ notice of the time and place of any public sale or of the time after which a private sale or other intended disposition is to take place and that such notice is reasonable notification of such matters. No notification need be given to the Pledgor if after default it has signed a statement renouncing or modifying any right to notification of sale or other intended disposition. Notwithstanding any provision in any shareholder’s agreement or any applicable laws to the contrary, the Pledgor acknowledge and agrees that the Pledgor may pledge to the Collateral Agent all of the Pledgor’s right, title and interest in all of the Pledge Entities, and upon foreclosure the successful bidder (which may include the Collateral Agent) will be deemed admitted as a member and/or shareholder, as applicable, of each Pledge Entity, and will automatically succeed to all of the Pledgor’s right, title and interest, including without limitation, the Pledgor’s limited liability company and equity interests, right to vote and participate in the management and business affairs of the Pledge Entities, right to a share of the profits and losses of the Pledge Entities and right to receive distributions from the Pledge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9.            </w:t>
      </w:r>
      <w:r>
        <w:rPr>
          <w:rFonts w:ascii="Times New Roman;Times;Serif" w:hAnsi="Times New Roman;Times;Serif"/>
          <w:b w:val="false"/>
          <w:i w:val="false"/>
          <w:caps w:val="false"/>
          <w:smallCaps w:val="false"/>
          <w:sz w:val="20"/>
          <w:u w:val="single"/>
        </w:rPr>
        <w:t>No Disposition, Etc.</w:t>
      </w:r>
      <w:r>
        <w:rPr>
          <w:rFonts w:ascii="Times New Roman;Times;Serif" w:hAnsi="Times New Roman;Times;Serif"/>
          <w:b w:val="false"/>
          <w:i w:val="false"/>
          <w:caps w:val="false"/>
          <w:smallCaps w:val="false"/>
          <w:sz w:val="20"/>
        </w:rPr>
        <w:t xml:space="preserve"> Until the irrevocable payment in full, satisfaction or expiration of the Obligations (other than Obligations which expressly survive termination of this Agreement by their terms which shall include without limitation any contingent indemnification Obligations), the Pledgor agrees that it will not sell, assign, transfer, exchange, or otherwise dispose of, or grant any option with respect to, the Pledged Interests or any other Pledged Collateral, nor will the Pledgor create, incur or permit to exist any lien or other encumbrance with respect to any of the Pledged Interests or any other Pledged Collateral, or any interest therein, or any proceeds thereof, except for the lien and security interest of the Collateral Agent provided for by this Agreement and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            </w:t>
      </w:r>
      <w:r>
        <w:rPr>
          <w:rFonts w:ascii="Times New Roman;Times;Serif" w:hAnsi="Times New Roman;Times;Serif"/>
          <w:b w:val="false"/>
          <w:i w:val="false"/>
          <w:caps w:val="false"/>
          <w:smallCaps w:val="false"/>
          <w:sz w:val="20"/>
          <w:u w:val="single"/>
        </w:rPr>
        <w:t>Sale of Pledged Interests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Pledgor recognizes that the Collateral Agent may be unable to effect a public sale or disposition (including, without limitation, any disposition in connection with a merger of a Pledge Entity) of any or all the Pledged Interests by reason of certain prohibitions contained in the Securities Act, and applicable state securities laws, but may be compelled to resort to one or more private sales or dispositions thereof to a restricted group of purchasers who will be obliged to agree, among other things, to acquire such securities for their own account, for investment and not with a view to the distribution or resale thereof. The Pledgor acknowledges and agrees that any such private sale or disposition may result in prices and other terms (including the terms of any securities or other property received in connection therewith) less favorable to the seller than if such sale or disposition were a public sale or disposition and the Pledgor agrees that it is not commercially unreasonable for the Collateral Agent to engage in any such private sales or dispositions under such circumstances. The Collateral Agent shall be under no obligation to delay a sale or disposition of any of the Pledged Interests in order to permit the Pledgor or a Pledge Entity to register such securities for public sale under the Securities Act, or under applicable state securities laws, even if such Pledgor or a Pledge Entity would agree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Pledgor further agrees to do or cause to be done all such other acts and things as may be reasonably necessary to make such sales or dispositions of the Pledged Interests valid and binding and in compliance with any and all applicable laws, regulations, orders, writs, injunctions, decrees or awards of any and all Governmental Authorities, domestic or foreign, having jurisdiction over any such sales or dispositions, all at such Pledgor’s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Pledgor shall not have any obligation to register the Pledged Interests as securities under the Securities Act or the applicable state securities laws solely by virtue of this Section 9(b). The Pledgor further agrees that a breach of any of the covenants contained in Sections 4, 5(a), 5(b), 8, 9 and 24 will cause irreparable injury to the Collateral Agent and that the Collateral Agent has no adequate remedy at law in respect of such breach and, as a consequence, agrees, without limiting the right of the Collateral Agent to seek and obtain injunctive relief and/or specific performance of other obligations of the Pledgor contained in this Agreement, that each and every covenant referenced above shall be specifically enforceable against the Pledgor, and the Pledgor hereby waives and agrees not to assert any defenses against an action for specific performance of such covenants. The Collateral Agent shall not be required to post a bond or other security as a condition of obtaining equitable relief except as otherwise expressly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Pledgor further agrees to indemnify and hold harmless the Collateral Agent and each other Investor, their respective successors and assigns and all of their collective officers, directors, shareholders, members, managers, partners, employees, attorneys and agents, and any Person in control of any thereof (collectively, the “Indemnitees”), from and against any loss, liability, claim, damage and expense, including, without limitation, legal fees and expenses (in this paragraph collectively called the “Indemnified Liabilities”), under federal and state securities laws or otherwise insofar as such Indemnified Liability (i) arises out of or is based upon any untrue statement or alleged untrue statement of a material fact contained in any registration statement, prospectus or offering memorandum or in any preliminary prospectus or preliminary offering memorandum or in any amendment or supplement to any thereof or in any other writing prepared by the Pledgor in connection with the offer, sale or resale of all or any portion of the Pledged Collateral unless such untrue statement of material fact was provided by the Collateral Agent, in writing, specifically for inclusion therein, or (ii) arises out of or is based upon any omission or alleged omission to state therein a material fact required to be stated or necessary to make the statements therein not misleading, such indemnification to remain operative regardless of any investigation made by or on behalf of the Collateral Agent or any successor thereof, or any Person in control of any thereof. In connection with a public sale or other distribution, the Pledgor will provide customary indemnification to any underwriters, their successors and assigns, officers and directors and each Person who controls any such underwriter (within the meaning of the Securities Act). If and to the extent that the foregoing undertakings in this paragraph may be unenforceable for any reason, the Pledgor agrees to make the maximum contribution to the payment and satisfaction of each of the Indemnified Liabilities which is permissible under applicable law. The indemnification obligations of the Pledgor under this Section 9(c) shall survive any termination of this Agreement to the maximum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Pledgor further agrees not to exercise any and all rights of subrogation it may have against a Pledge Entity upon the sale or disposition of all or any portion of the Pledged Collateral by the Collateral Agent pursuant to the terms of this Agreement until the termination of this Agreement in accordance with Section 11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Pledgor and each Pledge Entity further covenants and agrees not to, and to cause each of its Subsidiaries not to: (i) engage in a Fundamental Transaction (as defined in the Note(s)) with respect to any such entity unless the gross proceeds therefrom are paid to the Secured Parties to prepay the Note(s), provided that for avoidance of doubt if there are no gross proceeds to the Company, neither the Company nor the Pledge Entity nor any of their respective Subsidiaries shall enter into any agreement or arrangement with respect to a Fundamental Transaction; or (ii) sell, transfer, dispose of or encumber any assets other than pursuant to the sale of product inventory or the grant of licenses for services and related software in the ordinary course of business, or sell, transfer, encumber, or issue capital stock in any Subsidiary; or (iii) enter into an agreement or arrangement which contemplates or would result in the occurrence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            </w:t>
      </w:r>
      <w:r>
        <w:rPr>
          <w:rFonts w:ascii="Times New Roman;Times;Serif" w:hAnsi="Times New Roman;Times;Serif"/>
          <w:b w:val="false"/>
          <w:i w:val="false"/>
          <w:caps w:val="false"/>
          <w:smallCaps w:val="false"/>
          <w:sz w:val="20"/>
          <w:u w:val="single"/>
        </w:rPr>
        <w:t>No Waiver; Cumulative Remedies</w:t>
      </w:r>
      <w:r>
        <w:rPr>
          <w:rFonts w:ascii="Times New Roman;Times;Serif" w:hAnsi="Times New Roman;Times;Serif"/>
          <w:b w:val="false"/>
          <w:i w:val="false"/>
          <w:caps w:val="false"/>
          <w:smallCaps w:val="false"/>
          <w:sz w:val="20"/>
        </w:rPr>
        <w:t>. The Collateral Agent shall not by any act, delay, omission or otherwise be deemed to have waived any of its remedies hereunder, and no waiver by the Collateral Agent shall be valid unless in writing and signed by the Collateral Agent, and then only to the extent therein set forth. A waiver by the Collateral Agent of any right or remedy hereunder on any one occasion shall not be construed as a bar to any right or remedy which the Collateral Agent would otherwise have on any further occasion. No course of dealing between the Pledgor and the Collateral Agent or any other Investor, and no failure to exercise, nor any delay in exercising on the part of the Collateral Agent or any other Investor of, any right, power or privilege hereunder or under the other Transaction Documents shall impair such right or remedy or operate as a waiver thereof; nor shall any single or partial exercise of any right, power or privilege hereunder preclude any other or further exercise thereof or the exercise of any other right, power or privilege. The rights and remedies herein provided are cumulative and may be exercised singly or concurrently, and are not exclusive of any rights or remedies provided by law or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and the liens and security interests granted hereunder shall terminate and the Collateral Agent, at the Pledgor’s sole reasonable cost and reasonable expense, shall immediately return any Pledged Interests or other Pledged Collateral then held by the Collateral Agent in accordance with the provisions of this Agreement to the Pledgor upon the full and complete performance and indefeasible satisfaction of all of the Obligations (other than Obligations which expressly survive by their terms which shall include without limitation any contingent indemnification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13.            </w:t>
      </w:r>
      <w:r>
        <w:rPr>
          <w:rFonts w:ascii="Times New Roman;Times;Serif" w:hAnsi="Times New Roman;Times;Serif"/>
          <w:b w:val="false"/>
          <w:i w:val="false"/>
          <w:caps w:val="false"/>
          <w:smallCaps w:val="false"/>
          <w:sz w:val="20"/>
          <w:u w:val="single"/>
        </w:rPr>
        <w:t>Possession of Collateral</w:t>
      </w:r>
      <w:r>
        <w:rPr>
          <w:rFonts w:ascii="Times New Roman;Times;Serif" w:hAnsi="Times New Roman;Times;Serif"/>
          <w:b w:val="false"/>
          <w:i w:val="false"/>
          <w:caps w:val="false"/>
          <w:smallCaps w:val="false"/>
          <w:sz w:val="20"/>
        </w:rPr>
        <w:t>. Beyond the exercise of reasonable care to assure the safe custody of the Pledged Interests in the physical possession of the Collateral Agent pursuant hereto, neither the Collateral Agent, nor any nominee of the Collateral Agent, shall have any duty or liability to collect any sums due in respect thereof or to protect, preserve or exercise any rights pertaining thereto (including any duty to ascertain or take action with respect to calls, conversions, exchanges, maturities, tenders or other matters relating to the Pledged Collateral and any duty to take any necessary steps to preserve rights against any parties with respect to the Pledged Collateral), and shall be relieved of all responsibility for the Pledged Collateral upon surrendering them to the Pledgor. The Pledgor assumes the responsibility for being and keeping itself informed of the financial condition of a Pledge Entity and of all other circumstances bearing upon the risk of non-payment of the Obligations, and the Collateral Agent shall have no duty to advise the Pledgor of information known to the Collateral Agent regarding such condition or any such circumstance. The Collateral Agent shall have no duty to inquire into the powers of a Pledge Entity or its officers, directors, managers, members, partners or agents thereof acting or purporting to act on its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14.            </w:t>
      </w:r>
      <w:r>
        <w:rPr>
          <w:rFonts w:ascii="Times New Roman;Times;Serif" w:hAnsi="Times New Roman;Times;Serif"/>
          <w:b w:val="false"/>
          <w:i w:val="false"/>
          <w:caps w:val="false"/>
          <w:smallCaps w:val="false"/>
          <w:sz w:val="20"/>
          <w:u w:val="single"/>
        </w:rPr>
        <w:t>Taxes and Expenses</w:t>
      </w:r>
      <w:r>
        <w:rPr>
          <w:rFonts w:ascii="Times New Roman;Times;Serif" w:hAnsi="Times New Roman;Times;Serif"/>
          <w:b w:val="false"/>
          <w:i w:val="false"/>
          <w:caps w:val="false"/>
          <w:smallCaps w:val="false"/>
          <w:sz w:val="20"/>
        </w:rPr>
        <w:t>. The Pledgor will pay to the Collateral Agent (or the applicable Governmental Authority within the Applicable Time Frame (as hereafter defined) (a) any stamp, excise, sales or other taxes (excluding income taxes, franchise taxes or other taxes levied on gross earnings, profits, income or the like of the Collateral Agent) payable or ruled payable by any Governmental Authority with respect to any of the Pledged Collateral or in connection with any of the transactions contemplated by this Agreement, together with interest and penalties, if any, and (b) all expenses, including the fees and expenses of counsel for the Collateral Agent and of any experts or agents that the Collateral Agent may incur in connection with (i) the administration, modification or amendment of this Agreement, (ii) the custody or preservation of, or the sale of, collection from, or other realization upon, any of the Pledged Collateral, (iii) the exercise or enforcement of any of the rights of the Collateral Agent hereunder, or (iv) the failure of the Pledgor to perform or observe any of the provisions hereof. For purposes hereof, the term “Applicable Time Frame” means the earlier of (a) 10 days after the Collateral Agent’s written demand for such payment and (b) the date set forth in the Collateral Agent’s written demand for such payment if such payment is required to be made by the Collateral Agent prior to the 10 day period referred to in the foregoing clause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15.            </w:t>
      </w:r>
      <w:r>
        <w:rPr>
          <w:rFonts w:ascii="Times New Roman;Times;Serif" w:hAnsi="Times New Roman;Times;Serif"/>
          <w:b w:val="false"/>
          <w:i w:val="false"/>
          <w:caps w:val="false"/>
          <w:smallCaps w:val="false"/>
          <w:sz w:val="20"/>
          <w:u w:val="single"/>
        </w:rPr>
        <w:t>The Collateral Agent Appointed Attorney-In-Fact</w:t>
      </w:r>
      <w:r>
        <w:rPr>
          <w:rFonts w:ascii="Times New Roman;Times;Serif" w:hAnsi="Times New Roman;Times;Serif"/>
          <w:b w:val="false"/>
          <w:i w:val="false"/>
          <w:caps w:val="false"/>
          <w:smallCaps w:val="false"/>
          <w:sz w:val="20"/>
        </w:rPr>
        <w:t>. The Pledgor hereby irrevocably appoints the Collateral Agent as such Pledgor’s attorney-in-fact, with full authority in the place and stead of such Pledgor and in the name of such Pledgor or otherwise, from time to time in the Collateral Agent’s discretion, to take any action and to execute any instrument that the Collateral Agent deems reasonably necessary or advisable to accomplish the purposes of this Agreement, including, without limitation, to receive, endorse and collect all instruments made payable to such Pledgor representing any dividend, interest payment or other distribution in respect of the Pledged Collateral or any part thereof and to give full discharge for the same, when and to the extent permitted by this Agreement; provided that the power of attorney granted hereunder shall only be exercised by the Collateral Agent after the occurrence and during the continuance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16.            </w:t>
      </w:r>
      <w:r>
        <w:rPr>
          <w:rFonts w:ascii="Times New Roman;Times;Serif" w:hAnsi="Times New Roman;Times;Serif"/>
          <w:b w:val="false"/>
          <w:i w:val="false"/>
          <w:caps w:val="false"/>
          <w:smallCaps w:val="false"/>
          <w:sz w:val="20"/>
          <w:u w:val="single"/>
        </w:rPr>
        <w:t>Governing Law; Exclusive Jurisdiction; No Jury Trial</w:t>
      </w:r>
      <w:r>
        <w:rPr>
          <w:rFonts w:ascii="Times New Roman;Times;Serif" w:hAnsi="Times New Roman;Times;Serif"/>
          <w:b w:val="false"/>
          <w:i w:val="false"/>
          <w:caps w:val="false"/>
          <w:smallCaps w:val="false"/>
          <w:sz w:val="20"/>
        </w:rPr>
        <w:t xml:space="preserve">. All questions concerning the construction, validity, enforcement and interpretation of this Pledge Agreement shall be governed by the Security Agreement. Any action, proceeding or claim arising out of, or relating in any way to, this Agreement shall be subject to the exclusive jurisdiction of the courts as provided in the Security Agreement. </w:t>
      </w:r>
      <w:r>
        <w:rPr>
          <w:rFonts w:ascii="Times New Roman;Times;Serif" w:hAnsi="Times New Roman;Times;Serif"/>
          <w:b/>
          <w:i w:val="false"/>
          <w:caps w:val="false"/>
          <w:smallCaps w:val="false"/>
          <w:sz w:val="20"/>
        </w:rPr>
        <w:t>Each party hereby irrevocable waives any right it may have, and agrees not to request, a jury trial for the adjudication of any dispute hereunder or in connection herewith or arising out of this agreement or any transaction contemplated hereby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together shall be considered one and the same agreement and shall become effective when counterparts have been signed by each party and delivered to the other party; provided that a facsimile, .pdf or similar electronically transmitted signature shall be considered due execution and shall be binding upon the signatory thereto with the same force and effect as if the signature were an original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and shall not form part of, or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20.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together with the other transaction documents, supersedes all other prior oral or written agreements between the Pledgor, the Pledgees, their affiliates and persons acting on their behalf with respect to the matters discussed herein, and this agreement, together with the other transaction documents and the other instruments referenced herein and therein, contain the entire understanding of the parties with respect to the matters covered herein and therein and, except as specifically set forth herein or therein, neither the Collateral Agent nor the Pledgor makes any representation, warranty, covenant or undertaking with respect to such matters. As of the date of this Agreement, there are no unwritten agreement between the parties with respect to the matters discussed herein. Except as set forth in Section 2(a) hereof, no provision of this Agreement may be amended, modified or supplemented other than by an instrument in writing signed by the Pledgor and the Required Holders (as defined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approvals, requests, demands and other communications hereunder shall be delivered or made in the manner set forth in, and shall be effective in accordance with the terms of, the Purchase Agreement, in the case of communications to the Collateral Agent, directed to the notice address set forth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respective successors and assigns, including any subsequent holder(s) of the Note. The Pledgor shall not assign this Agreement or any rights or obligations hereunder without the prior written consent of the Collateral Agent. The Collateral Agent may assign its rights hereunder without the consent of the Pledgor or any Investor (including any Person who becomes an Investor after the date hereof), in which event such assignee shall be deemed to be the Collateral Agent hereunder with respect to such assigned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23.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assigns including any other Investor,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All representations, warranties, covenants and agreements of the Pledgor and the Collateral Agent shall survive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25.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Pledgor agrees that it will, at any time and from time to time upon the written request of the Collateral Agent, execute and deliver all assignments separate from certificates or stock powers, financing statements and such further documents and do such further acts and things as the Collateral Agent may reasonably request consistent with the provisions hereof in order to carry out the intent and accomplish the purpose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26.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27.            </w:t>
      </w:r>
      <w:r>
        <w:rPr>
          <w:rFonts w:ascii="Times New Roman;Times;Serif" w:hAnsi="Times New Roman;Times;Serif"/>
          <w:b w:val="false"/>
          <w:i w:val="false"/>
          <w:caps w:val="false"/>
          <w:smallCaps w:val="false"/>
          <w:sz w:val="20"/>
          <w:u w:val="single"/>
        </w:rPr>
        <w:t>Collateral Agent Authorized</w:t>
      </w:r>
      <w:r>
        <w:rPr>
          <w:rFonts w:ascii="Times New Roman;Times;Serif" w:hAnsi="Times New Roman;Times;Serif"/>
          <w:b w:val="false"/>
          <w:i w:val="false"/>
          <w:caps w:val="false"/>
          <w:smallCaps w:val="false"/>
          <w:sz w:val="20"/>
        </w:rPr>
        <w:t>. The Pledgor hereby authorizes the Collateral Agent to file one or more financing or continuation statements and amendments thereto (or similar documents required by any laws of any applicable jurisdiction) relating to all or any part of the Pledged Interests or other Pledged Collateral without the signature of such Pledgor.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28.            </w:t>
      </w:r>
      <w:r>
        <w:rPr>
          <w:rFonts w:ascii="Times New Roman;Times;Serif" w:hAnsi="Times New Roman;Times;Serif"/>
          <w:b w:val="false"/>
          <w:i w:val="false"/>
          <w:caps w:val="false"/>
          <w:smallCaps w:val="false"/>
          <w:sz w:val="20"/>
          <w:u w:val="single"/>
        </w:rPr>
        <w:t>Collateral Agent Acknowledgement</w:t>
      </w:r>
      <w:r>
        <w:rPr>
          <w:rFonts w:ascii="Times New Roman;Times;Serif" w:hAnsi="Times New Roman;Times;Serif"/>
          <w:b w:val="false"/>
          <w:i w:val="false"/>
          <w:caps w:val="false"/>
          <w:smallCaps w:val="false"/>
          <w:sz w:val="20"/>
        </w:rPr>
        <w:t>. The Pledgor acknowledges receipt of an executed copy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29.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The terms and provisions of the Security Agreement which set forth the appointment and indemnification of [ ] as Collateral Agent are hereby incorporated by reference herein 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Pledge Agreement to be duly executed and delivered by their duly authorized officers on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394" w:type="dxa"/>
        <w:jc w:val="left"/>
        <w:tblInd w:w="0" w:type="dxa"/>
        <w:tblLayout w:type="fixed"/>
        <w:tblCellMar>
          <w:top w:w="0" w:type="dxa"/>
          <w:left w:w="0" w:type="dxa"/>
          <w:bottom w:w="0" w:type="dxa"/>
          <w:right w:w="0" w:type="dxa"/>
        </w:tblCellMar>
      </w:tblPr>
      <w:tblGrid>
        <w:gridCol w:w="75"/>
        <w:gridCol w:w="1133"/>
        <w:gridCol w:w="2186"/>
      </w:tblGrid>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PLEDGOR</w:t>
            </w:r>
            <w:r>
              <w:rPr>
                <w:rFonts w:ascii="Times New Roman;Times;Serif" w:hAnsi="Times New Roman;Times;Serif"/>
                <w:b/>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Baird Medical Investment Holdings Ltd,</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Cayman Islands exempted company</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left"/>
              <w:rPr>
                <w:sz w:val="20"/>
              </w:rPr>
            </w:pPr>
            <w:r>
              <w:rPr>
                <w:sz w:val="20"/>
              </w:rPr>
              <w:t>By:</w:t>
            </w:r>
          </w:p>
        </w:tc>
        <w:tc>
          <w:tcPr>
            <w:tcW w:w="218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left"/>
              <w:rPr>
                <w:caps w:val="false"/>
                <w:smallCaps w:val="false"/>
              </w:rPr>
            </w:pPr>
            <w:r>
              <w:rPr>
                <w:caps w:val="false"/>
                <w:smallCaps w:val="false"/>
              </w:rPr>
              <w:t> </w:t>
            </w:r>
          </w:p>
        </w:tc>
        <w:tc>
          <w:tcPr>
            <w:tcW w:w="2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left"/>
              <w:rPr>
                <w:caps w:val="false"/>
                <w:smallCaps w:val="false"/>
              </w:rPr>
            </w:pPr>
            <w:r>
              <w:rPr>
                <w:caps w:val="false"/>
                <w:smallCaps w:val="false"/>
              </w:rPr>
              <w:t> </w:t>
            </w:r>
          </w:p>
        </w:tc>
        <w:tc>
          <w:tcPr>
            <w:tcW w:w="2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COLLATERAL AGENT</w:t>
            </w:r>
            <w:r>
              <w:rPr>
                <w:rFonts w:ascii="Times New Roman;Times;Serif" w:hAnsi="Times New Roman;Times;Serif"/>
                <w:b/>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left"/>
              <w:rPr>
                <w:sz w:val="20"/>
              </w:rPr>
            </w:pPr>
            <w:r>
              <w:rPr>
                <w:sz w:val="20"/>
              </w:rPr>
              <w:t>By:</w:t>
            </w:r>
          </w:p>
        </w:tc>
        <w:tc>
          <w:tcPr>
            <w:tcW w:w="218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left"/>
              <w:rPr>
                <w:caps w:val="false"/>
                <w:smallCaps w:val="false"/>
              </w:rPr>
            </w:pPr>
            <w:r>
              <w:rPr>
                <w:caps w:val="false"/>
                <w:smallCaps w:val="false"/>
              </w:rPr>
              <w:t> </w:t>
            </w:r>
          </w:p>
        </w:tc>
        <w:tc>
          <w:tcPr>
            <w:tcW w:w="2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left"/>
              <w:rPr>
                <w:caps w:val="false"/>
                <w:smallCaps w:val="false"/>
              </w:rPr>
            </w:pPr>
            <w:r>
              <w:rPr>
                <w:caps w:val="false"/>
                <w:smallCaps w:val="false"/>
              </w:rPr>
              <w:t> </w:t>
            </w:r>
          </w:p>
        </w:tc>
        <w:tc>
          <w:tcPr>
            <w:tcW w:w="2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Pledge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ACKNOWLEDGEMENT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hereby (i) acknowledges receipt of a copy of the foregoing Pledge Agreement, (ii) waives any rights or requirement at any time hereafter to receive a copy of such Pledge Agreement in connection with the registration of any Pledged Interests (as defined therein) in the name of the Collateral Agent or its nominee or the exercise of voting rights by the Collateral Agent and (iii) agrees promptly to note on its books and records the grant of the security interest in the stock or other equity interests of the undersigned as provided in such Pledge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 2026</w:t>
      </w:r>
    </w:p>
    <w:p>
      <w:pPr>
        <w:pStyle w:val="TextBody"/>
        <w:bidi w:val="0"/>
        <w:spacing w:before="0" w:after="0"/>
        <w:ind w:left="0" w:right="0" w:hanging="0"/>
        <w:jc w:val="left"/>
        <w:rPr>
          <w:caps w:val="false"/>
          <w:smallCaps w:val="false"/>
        </w:rPr>
      </w:pPr>
      <w:r>
        <w:rPr>
          <w:caps w:val="false"/>
          <w:smallCaps w:val="false"/>
        </w:rPr>
        <w:t> </w:t>
      </w:r>
    </w:p>
    <w:tbl>
      <w:tblPr>
        <w:tblW w:w="1789" w:type="dxa"/>
        <w:jc w:val="left"/>
        <w:tblInd w:w="0" w:type="dxa"/>
        <w:tblLayout w:type="fixed"/>
        <w:tblCellMar>
          <w:top w:w="0" w:type="dxa"/>
          <w:left w:w="0" w:type="dxa"/>
          <w:bottom w:w="0" w:type="dxa"/>
          <w:right w:w="0" w:type="dxa"/>
        </w:tblCellMar>
      </w:tblPr>
      <w:tblGrid>
        <w:gridCol w:w="652"/>
        <w:gridCol w:w="1062"/>
        <w:gridCol w:w="75"/>
      </w:tblGrid>
      <w:tr>
        <w:trPr/>
        <w:tc>
          <w:tcPr>
            <w:tcW w:w="17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Baird Medical LLC</w:t>
            </w:r>
          </w:p>
        </w:tc>
        <w:tc>
          <w:tcPr>
            <w:tcW w:w="75" w:type="dxa"/>
            <w:tcBorders/>
            <w:vAlign w:val="center"/>
          </w:tcPr>
          <w:p>
            <w:pPr>
              <w:pStyle w:val="TableContents"/>
              <w:bidi w:val="0"/>
              <w:spacing w:before="0" w:after="283"/>
              <w:jc w:val="left"/>
              <w:rPr/>
            </w:pPr>
            <w:r>
              <w:rPr/>
              <w:t> </w:t>
            </w:r>
          </w:p>
        </w:tc>
      </w:tr>
      <w:tr>
        <w:trPr/>
        <w:tc>
          <w:tcPr>
            <w:tcW w:w="17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6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52" w:type="dxa"/>
            <w:tcBorders/>
            <w:vAlign w:val="center"/>
          </w:tcPr>
          <w:p>
            <w:pPr>
              <w:pStyle w:val="TableContents"/>
              <w:bidi w:val="0"/>
              <w:spacing w:before="0" w:after="283"/>
              <w:jc w:val="left"/>
              <w:rPr>
                <w:caps w:val="false"/>
                <w:smallCaps w:val="false"/>
              </w:rPr>
            </w:pPr>
            <w:r>
              <w:rPr>
                <w:caps w:val="false"/>
                <w:smallCaps w:val="false"/>
              </w:rPr>
              <w:t> </w:t>
            </w:r>
          </w:p>
        </w:tc>
        <w:tc>
          <w:tcPr>
            <w:tcW w:w="1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652" w:type="dxa"/>
            <w:tcBorders/>
            <w:vAlign w:val="center"/>
          </w:tcPr>
          <w:p>
            <w:pPr>
              <w:pStyle w:val="TableContents"/>
              <w:bidi w:val="0"/>
              <w:spacing w:before="0" w:after="283"/>
              <w:jc w:val="left"/>
              <w:rPr>
                <w:caps w:val="false"/>
                <w:smallCaps w:val="false"/>
              </w:rPr>
            </w:pPr>
            <w:r>
              <w:rPr>
                <w:caps w:val="false"/>
                <w:smallCaps w:val="false"/>
              </w:rPr>
              <w:t> </w:t>
            </w:r>
          </w:p>
        </w:tc>
        <w:tc>
          <w:tcPr>
            <w:tcW w:w="1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2" w:name="tm2626149d1_ex10-5.htm"/>
      <w:bookmarkStart w:id="13" w:name="kstm2626149d1_ex105"/>
      <w:bookmarkEnd w:id="12"/>
      <w:bookmarkEnd w:id="13"/>
      <w:r>
        <w:rPr>
          <w:rFonts w:ascii="Times New Roman;Times;Serif" w:hAnsi="Times New Roman;Times;Serif"/>
          <w:b/>
          <w:i w:val="false"/>
          <w:caps w:val="false"/>
          <w:smallCaps w:val="false"/>
          <w:sz w:val="20"/>
        </w:rPr>
        <w:t>Exhibit 10.5</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SUBSIDIARY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SUBSIDIARY GUARANTEE (as amended, restated, supplemented, or otherwise modified and in effect from time to time, this “Guarantee”) is made as of September[ ], 2026, jointly and severally, by and among Baird Medical Investment Holdings Ltd, a Cayman Islands exempted company (the “Company”), and the Company’s undersigned Subsidiaries which are all Subsidiaries of the Company as of the date hereof other than Baide Suzhou Medical Co., Ltd. and Nanjing Changcheng Medical Equipment Co., Ltd. (the “</w:t>
      </w:r>
      <w:r>
        <w:rPr>
          <w:rFonts w:ascii="Times New Roman;Times;Serif" w:hAnsi="Times New Roman;Times;Serif"/>
          <w:b w:val="false"/>
          <w:i w:val="false"/>
          <w:caps w:val="false"/>
          <w:smallCaps w:val="false"/>
          <w:sz w:val="20"/>
          <w:u w:val="single"/>
        </w:rPr>
        <w:t>Excluded Subsidiary”)</w:t>
      </w:r>
      <w:r>
        <w:rPr>
          <w:rFonts w:ascii="Times New Roman;Times;Serif" w:hAnsi="Times New Roman;Times;Serif"/>
          <w:b w:val="false"/>
          <w:i w:val="false"/>
          <w:caps w:val="false"/>
          <w:smallCaps w:val="false"/>
          <w:sz w:val="20"/>
        </w:rPr>
        <w:t xml:space="preserve">, together with each other Person who becomes a party to this Guarantee by execution of a joinder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which shall include all Subsidiaries (as defined in the Purchase Agreement (as defined below) of the Company formed or acquired after the date hereof for so long as this Guarantee remains in effect, shall be referred to individually as a “Guarantor” and collectively as the “Guarantors”), in favor of [           ], as agent for the Investor (the “Collateral Agent”), for the benefit of itself as the Investor (as defined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and in accordance with the Purchase Agreement, the Company has executed and delivered that certain Note dated as of the date hereof (the “Closing Date”) in an original aggregate principal amount of up to $4,347,826 as provided in the Purchase Agreement (the “Note”). The Note was or may be issued pursuant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Note was acquired by the Investor pursuant to that certain Securities Purchase Agreement, dated as of the date hereof among the Company and the Investor (as the same may be amended, restated, supplemented or otherwise modified from time-to-time,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Guarantor is a Subsidiary of the Company and, as such, will derive substantial benefit and advantage from the Purchase Agreement, the Note, the Security Agreement and the other related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promises and for other good and valuable consideration, the receipt and sufficiency of which are hereby acknowledged, each Guarantor hereby jointly and severally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Capitalized words and phrases used herein without definition and defined in the Purchase Agreement are used herein as defined therein or, if not defined in the Purchase Agreement, as defined in the Security Agreement or the Note, as applicable. In addition, as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Bankruptcy Code” shall mean the U.S. Federal Bankruptcy Reform Act of 1978 (11 U.S.C. §101,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as amended and in effect from time-to-time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Obligations” shall mean all obligations arising under the Note including but not limited to the principal, accrued interest, and other sums due under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references to an “Investor” or “Investors” hereunder shall include the Collateral Agent acting in its capacity as the Investor. For clarity, because the Collateral Agent is the sole Investor under the Purchase Agreement, the parties acknowledge that notwithstanding references to Collateral Agent or Investor in this Guarantee, the term “Collateral Agent” refers to the Investor, and the terms “Investor” or “Investors” refers to the Collateral Agent, unless one or more third parties acquire a portion of the Note in which case the Investor shall act as Collateral Agent for all parties who hold such Note in accordance with this Guarantee, and their respective successors and assigns. In such event, the Collateral Agent may require amendments to the applicable Transaction Documents to reflect the inclusion of additional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references to a “Guarantor” or “Guarantors” hereunder shall include the Company’s Subsidiaries listed on the signature page(s) hereto, which the Company represents and warrants constitute all of the Company’s Subsidiaries as of the date of this Guarantee other than the Excluded Subsidiary, and to any additional Subsidiaries which may be formed or acquired by the Company subsequent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Guarantee of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Guarantor, jointly and severally, hereby unconditionally and irrevocably guarantees the full and prompt payment and performance to the Investors and the Collateral Agent, on behalf of itself and in its capacity as agent for the benefit of the Investors, as primary obligor and not as surety, when due, whether at maturity or by reason of acceleration or otherwise, of any and all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Guarantor acknowledges that valuable consideration supports this Guarantee, including, without limitation, the consideration set forth in the recitals above; any extension, renewal or replacement of any of the Obligations; any forbearance with respect to any of the Obligations or otherwise; any cancellation of an existing guaranty; any purchase of any of the Company’s assets by any Investor or Collateral Agent; or any other valuable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Guarantor agrees that all payments under this Guarantee shall be made in United States currency and in the same manner as provided for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of this Guarantee to the contrary, it is intended that any payment made by a Guarantor pursuant to this Guarantee does not constitute a “Fraudulent Conveyance” (as defined below) in the event that this Guarantee or such interest is subject to the Bankruptcy Code or any applicable fraudulent conveyance or fraudulent transfer law or other applicable laws of any state. Consequently, each Guarantor, the Collateral Agent and the Investors all agree that if this Guarantee, or any such payments pursuant to this Guarantee, would, but for the application of this sentence, constitute a Fraudulent Conveyance, this Guarantee shall be valid and enforceable only to the maximum extent that would not cause this Guarantee or such payment to constitute a Fraudulent Conveyance, and this Guarantee shall automatically be deemed to have been amended accordingly at all relevant times. For purposes hereof, “Fraudulent Conveyance” means a fraudulent conveyance under Section 548 of the Bankruptcy Code or a fraudulent conveyance or fraudulent transfer under the provisions of any applicable fraudulent conveyance or fraudulent transfer law or other applicable laws of any state,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The Company and each Guarantor, jointly and severally, agrees to pay on demand, all reasonable and documented out of pocket Costs and Expenses of every kind incurred by any Investor or the Collateral Agent: (a) in enforcing this Guarantee or any other Transaction Document, (b) in collecting any of the Obligations from any Guarantor pursuant to this Guarantee or any other Transaction Document, (c) in protecting or preserving any Collateral, and (d) in connection with any amendment of, modification to, waiver or forbearance granted under, or enforcement or administration of this Guarantee or any other Transaction Document or for any other purpose in connection with this Guarantee or any other Transaction Document, in each case, to the extent an Investor or the Collateral Agent may take such action pursuant to the terms and conditions of this Guarantee. “Costs and Expenses” as used in the preceding sentence shall include, without limitation, reasonable attorneys’ fees incurred by any Investor or the Collateral Agent in retaining legal counsel for advice, suit, appeal, any insolvency or other proceedings under the Bankruptcy Code or otherwise, or for any purpose specified in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Nature of Guarantee: Continuing, Absolute and Unconditional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Guarantee is and is intended to be a continuing guaranty of payment of the Obligations when due, and not of collectability, and is intended to be independent of and in addition to any other guaranty, endorsement, collateral or other agreement held by an Investor or the Collateral Agent therefor or with respect thereto, whether or not furnished by a Guarantor. None of the Investors and the Collateral Agent shall be required to prosecute collection, enforcement or other remedies against the Company, any other Guarantor or guarantor of the Obligations or any other person or entity, or to enforce or resort to any of the Collateral or other rights or remedies pertaining thereto, before calling on a Guarantor for payment. The obligations of each Guarantor to repay the Obligations hereunder shall be unconditional. No Guarantor shall have any right to exercise any right of subrogation, reimbursement, indemnity, exoneration, contribution or any other claim which it may now or hereafter have against the Company in connection with this Guarantee until the termination of this Guarantee in accordance with Section 8 below, and each Guarantor agrees that it will not take any action to enforce any obligations of the Company to such Guarantor prior to the Obligations being finally and irrevocably paid in full in cash,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in the event of the bankruptcy or insolvency of the Company, to the extent the Obligations have not been finally and irrevocably paid in full in cash, the Collateral Agent, for the benefit of itself and the Investors, and the Investors shall be entitled notwithstanding the foregoing, to file in the name of any Guarantor or in its own name a claim for any and all indebtedness owing to a Guarantor by such Company (exclusive of this Guarantee), vote such claim and to apply the proceeds of any such claim to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further security of the Investors and without in any way diminishing the liability of the Guarantors, following the occurrence and during the continuance of an Event of Default (as defined in the Note), all debts and liabilities, present or future, of the Company to the Guarantors, and all monies received from the Company or for its account by the Guarantors in respect thereof shall be received in trust for Investors and the Collateral Agent and shall, if requested by the Collateral Agent, be paid over to the Collateral Agent, for its benefit and in its capacity as the Collateral Agent for the benefit of the Investors, until all of the Obligations have been paid in full (other than unasserted contingent indemnification obligations and unasserted expense reimbursement obligations which expressly survive termination of this Guarantee). This assignment and postponement is independent of and severable from this Guarantee and shall remain in full effect whether or not any Guarantor is liable for any amount under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Guarantee is absolute and unconditional and shall not be changed or affected by any representation, oral agreement, act or thing whatsoever, except as herein provided. This Guarantee is intended by the Guarantors to be the final, complete and exclusive expression of the guarantee agreement among the Company, the Guarantors, the Investors and the Collateral Agent (except as expressly limited by the express terms of this Guarantee). No modification or amendment of any provision of this Guarantee shall be effective against any party hereto unless in writing and signed by a duly authorized officer of such party. This Guarantee, together with the other Transaction Documents, supersedes all other prior oral or written agreements between the Investors, the Company, the Guarantors and the Collateral Agent, their respective Affiliates and Persons acting on their respective behalves with respect to the matters discussed herein, and this Guarantee, together with the other Transaction Documents and the other instruments referenced herein and therein, contain the entire understanding of the parties with respect to the matters covered herein and therein and, except as specifically set forth herein or therein, neither the Company, any Guarantor, the Collateral Agent nor any Investor makes any representation, warranty, covenant or undertaking with respect to such matters. As of the date of this Guarantee, there are no unwritten agreements between the parties with respect to the matters discussed herein. No provision of this Guarantee may be amended, modified or supplemented other than by an instrument in writing signed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Guarantor hereby releases each Investor and the Collateral Agent from all, and agrees not to assert or enforce (whether by or in a legal or equitable proceeding or otherwise) any, “claims” (as defined in Section 101(5) of the Bankruptcy Code), whether arising under any law, ordinance, rule, regulation, order, policy or other requirement of any domestic or foreign governmental authority or any instrumentality or agency thereof, having jurisdiction over the conduct of its business or assets or otherwise, to which the Guarantors are or would at any time be entitled by virtue of its obligations hereunder, any payment made pursuant hereto or the exercise by any Investor or the Collateral Agent of its rights with respect to the Collateral, including any such claims to which such Guarantor may be entitled as a result of any right of subrogation, exoneration or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Certain Rights and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Guarantor acknowledges and agrees that the Collateral Agent may, with three days’ advance written notice to Guarantor, demand or any reservation of rights against such Guarantor and without affecting such Guarantor’s obligations hereunder,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the terms of the Note and Purchase Agreement as applicable, renew, extend, increase, accelerate or otherwise change the time for payment of, the terms of or the interest on the Obligations or any part thereof or grant other indulgences to any Guarantor or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accept from any Person and hold Collateral for the payment of the Obligations or any part thereof, and modify, exchange, enforce or refrain from enforcing, or release, compromise, settle, waive, subordinate or surrender, with or without consideration, such Collateral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accept and hold any endorsement or guaranty of payment of the Obligations or any part thereof, and discharge, release or substitute any such obligation of any such endorser or guarantor, or discharge and release or compromise any Guarantor, or any other Person who has given any security interest in any Collateral as security for the payment of the Obligations or any part thereof, or any other Person in any way obligated to pay the Obligations or any part thereof, and enforce or refrain from enforcing, or compromise or modify, the terms of any obligation of any such endorser, guarantor or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subject to the terms of the other Transaction Documents as applicable and upon the occurrence and during the continuation of an Event of Default, dispose of any and all Collateral securing the Obligations in its reasonable discretion, as it may deem appropriate, and direct the order or manner of such disposition and the enforcement of any and all endorsements and guaranties relating to the Obligations or any part thereof as the Collateral Agent in its reasonable discretion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subject to the terms of the Note and Purchase Agreement as applicable, determine the manner, amount and time of application of payments and credits, if any, to be made on all or any part of any component or components of the Obligations (whether principal, interest, fees, costs, and expenses, or otherwise), including, without limitation, the application of payments received from any source to the payment of Indebtedness other than the Obligations even though one or more Investors might lawfully have elected to apply such payments to the Obligations or to amounts which are not covered by this Guarantee;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take advantage or refrain from taking advantage of any security or accept or make or refrain from accepting or making any compositions or arrangements when and in such manner as Collateral Agent, in its sole discretion, may deem appropriate;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generally do or refrain from doing any act or thing which might otherwise, at law or in equity, release the liability of such Guarantor as a guarantor or surety in whole or in part, and in no case shall any Investor or Collateral Agent be responsible or shall any Guarantor be released either in whole or in part for any act or omission in connection with an Investor or Collateral Agent having sold any security at less than its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occurrence and during the continuance of an Event of Default, and upon demand by the Collateral Agent, each Guarantor, jointly and severally, hereby agrees to pay the Obligations to the extent hereinafter provided and to the extent unpaid: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without deduction by reason of any defense (other than payment) or counterclaim of the Company or any other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requiring presentment or protest to the Company, any other Guarantor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without or filing of claims with a court in the event of receivership, bankruptcy or reorganization of the Company or any other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without requiring any Investor or the Collateral Agent to resort first to the Company (this being a guaranty of payment and not of collection), to any other Guarantor, or to any other guaranty or any collateral which an Investor or the Collateral Agent may 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without requiring notice of acceptance hereof or assent hereto by any Investor or the Collateral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without requiring notice that any of the Obligations has been incurred, extended or continued or of the reliance by any Investor or the Collateral Agent upon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which each Guarantor hereby irrevocably waives.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Guarantor’s obligation hereunder shall not be affected by any of the following, all of which such Guarantor hereby waives: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failure to perfect or continue the perfection of any security interest in or other Lien on any Collateral securing payment of any of the Obligations or any Guarantor’s obligation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invalidity, unenforceability, propriety of manner of enforcement of, or loss or change in priority of any document or security interest or other Lien or guaranty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failure to protect, preserve or insure any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failure of a Guarantor to receive notice of any intended disposition of any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defense arising by reason of the cessation from any cause whatsoever of liability of any Guarantor including, without limitation, any failure, negligence or omission by any Investor or the Collateral Agent in enforcing its claims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release, settlement or compromise of any Obligation of the Company, any other Guarantor or any other Person guaranteeing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invalidity or unenforceability of any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change of ownership of the Company, any other Guarantor or any other Person guaranteeing the Obligations or the insolvency, bankruptcy or any other change in the legal status of the Company, any Guarantor or any other Person guaranteeing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change in, or the imposition of, any law, decree, regulation or other governmental act which does or might impair, delay or in any way affect the validity, enforceability or the payment when due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existence of any claim, setoff or other rights which the Company, the Guarantor, any other Guarantor or guarantor of the Obligations or any other Person may have at any time against any Investor or the Collateral Agent in connection herewith or any unrelated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Investor’s or the Collateral Agent’s election in any case instituted under Chapter 11 of the Bankruptcy Code, of the application of Section 1111(b)(2)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use of cash Collateral, or grant of a security interest by any Company, as debtor in possession, under Sections 363 or 364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disallowance of all or any portion of any of any Investor’s or the Collateral Agent’s claims for repayment of the Obligations under Sections 502 or 506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stay or extension of time for payment by the Company or any Guarantor resulting from any proceeding under the Bankruptcy Code or any other applicable law;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other fact or circumstance which might otherwise constitute grounds at law or equity for the discharge or release of a Guarantor from its obligations hereunder, all whether or not such Guarantor shall have had notice or knowledge of any act or omission referred to in the foregoing clauses (i) through (xiv) of this Section 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Guarantor further represents and warrants to each Investor and the Collateral Agent that, as of the date hereof: (a) such Guarantor is a corporation, exempted company, company or other entity duly incorporated or organized, as applicable, validly existing and in good standing under the laws of the jurisdiction of its incorporation or formation, as applicable, and has full power, authority and legal right to own its property and assets and to transact the business in which it is presently engaged; (b) such Guarantor has full power, authority and legal right to execute and deliver, and to perform its obligations under, this Guarantee, and has taken all necessary action to authorize the guarantee hereunder on the terms and conditions of this Guarantee and to authorize the execution, delivery and performance of this Guarantee; (c) this Guarantee has been duly executed and delivered by such Guarantor and constitutes a legal, valid and binding obligation of such Guarantor enforceable against such Guarantor in accordance with its terms, except to the extent that such enforceability is subject to applicable bankruptcy, insolvency, reorganization, fraudulent conveyance and moratorium laws and other laws of general application affecting enforcement of creditors’ rights generally, or the availability of equitable remedies, which are subject to the discretion of the court before which an action may be brought; (d) the execution, delivery and performance by each Guarantor of this Guarantee does not require any action by or in respect of, or filing with, any governmental body, agency or official and do not violate, conflict with or cause a breach or a default under any provision of (i) applicable law or regulation, (ii) the organizational documents of such Guarantor, (iii) any judgment, injunction, order, decree or other instrument binding upon it, or (iv) any agreement binding upon it; and (e) the Guarantors are all of the subsidiaries of the Company other than the Excluded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Guarantor covenants with each Investor and the Collateral Agent that such Guarantor shall not grant any security interest in or permit any Lien upon any of its assets in favor of any Person other than Permitted Liens (as defined in the Note) and security interests in favor of the Investors and the Collateral Agent. Each Guarantor agrees that it shall not take any action or engage in any transaction that such Guarantor is prohibited from taking or engaging in pursuant to the terms of the Transaction Documents. In addition, each Guarantor agrees to comply with the terms of the Transaction Documents to the same extent that the Company is required to cause the Guarantors to comply with such terms of the Transaction Documents. Each Guarantor, by its signature hereto, hereby acknowledges and agrees that a breach by such Guarantor of this Guarantee constitutes an “Event of Default” under the Note and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Each Guarantor covenants and agrees covenants and agrees not to, and to cause each of its Subsidiaries not to: (i) engage in a Fundamental Transaction (as defined in the Note(s)) with respect to any such entity unless the gross proceeds therefrom are paid to the Investor to prepay the Note(s), provided that for avoidance of doubt if there are no gross proceeds to the Company, no Guarantor nor any of their respective Subsidiaries shall enter into any agreement or arrangement with respect to a Fundamental Transaction; or (ii) sell, transfer, dispose of or encumber any assets other than pursuant to the sale of product inventory or the grant of licenses for services and related software in the ordinary course of business, or sell, transfer, encumber, or issue capital stock in any Subsidiary; or (iii) enter into an agreement or arrangement which contemplates or would result in the occurrence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Guarantee shall not terminate until the full and complete performance and indefeasible satisfaction of all of the Obligations (including, without limitation, the indefeasible payment in full in cash of all such Obligations (other than unasserted contingent indemnification obligations and unasserted expense reimbursement obligations which expressly survive termination of this Guarantee)) or the termination of the Obligations in accordance with the Transaction Documents. Thereafter, but subject to the following, the Collateral Agent, on behalf of itself and as agent for the Investors, shall take such actions and execute such documents as the Guarantors may reasonably request (and at the Guarantors’ cost and expense) in order to evidence the termination of this Guarantee. Payment of all of the Obligations owing from time to time shall not operate as a discontinuance of this Guarantee. Each Guarantor further agrees that, to the extent that the Company or a Guarantor makes a payment to the Investors or the Collateral Agent on the Obligations, or the Investors or the Collateral Agent receive any proceeds from the Collateral securing the Obligations or any other payments with respect to the Obligations, which payment or receipt of proceeds or any part thereof is subsequently invalidated, declared to be fraudulent or preferential, set aside or required to be returned or repaid to the Company, a Guarantor or any of their respective estates, trustees, receivers, debtors in possession or any other Person under any insolvency or bankruptcy law (including, but not limited to the Bankruptcy Code), state or federal law, common law or equitable cause, then to the extent of such payment, return or repayment, the obligation or part thereof which has been paid, reduced or satisfied by such amount shall be reinstated and continued in full force and effect as of the date when such initial payment, reduction or satisfaction occurred, and this Guarantee shall continue in full force notwithstanding any contrary action which may have been taken by any Investor or the Collateral Agent in reliance upon such payment, and any such contrary action so taken shall be without prejudice to any Investor’s or the Collateral Agent’s rights under this Guarantee and shall be deemed to have been conditioned upon such payment having become final and irrevocable. Upon satisfaction of the Obligations in accordance with this Section 8, each Guarantor’s obligations under this Guarantee shall immediately terminate and this Guarantee shall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Guarantee of Performance</w:t>
      </w:r>
      <w:r>
        <w:rPr>
          <w:rFonts w:ascii="Times New Roman;Times;Serif" w:hAnsi="Times New Roman;Times;Serif"/>
          <w:b w:val="false"/>
          <w:i w:val="false"/>
          <w:caps w:val="false"/>
          <w:smallCaps w:val="false"/>
          <w:sz w:val="20"/>
        </w:rPr>
        <w:t>. Each Guarantor also, jointly and severally, guarantees the full, prompt and unconditional performance of all Obligations and agreements of every kind owed or hereafter to be owed by the Company or the other Guarantors to the Investors or the Collateral Agent under this Guarantee and the other Transaction Documents. Every provision for the benefit of the Investors or the Collateral Agent contained in this Guarantee shall apply to the guaranty of performance given in this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Assumption of Liens and Obligations.</w:t>
      </w:r>
      <w:r>
        <w:rPr>
          <w:rFonts w:ascii="Times New Roman;Times;Serif" w:hAnsi="Times New Roman;Times;Serif"/>
          <w:b w:val="false"/>
          <w:i w:val="false"/>
          <w:caps w:val="false"/>
          <w:smallCaps w:val="false"/>
          <w:sz w:val="20"/>
        </w:rPr>
        <w:t xml:space="preserve"> To the extent that a Guarantor has received or shall hereafter receive distributions or transfers from the Company of property or cash that are subject, at the time of such distribution or transfer, to Liens and security interests in favor of the Investors or the Collateral Agent in accordance with the Transaction Documents, such Guarantor hereby expressly agrees that (i) it shall hold such assets subject to such Liens and security interests, and (ii) it shall be liable for the payment of the Obligations secured thereby. Each Guarantor’s obligations under this Section 10 shall be in addition to its obligations as set forth in other sections of this Guarantee and not in substitution therefor or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“Company” and “Guarantor” as used in this Guarantee shall include: (i) any successor individuals, associations, partnerships, limited liability companies, exempted companies, corporations or other entities and (ii) any other associations, partnerships, limited liability companies, corporations or entities into or with which such Company or such Guarantor shall have been merged, consolidated, reorganized, or absorbed.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any other right of any Investor or the Collateral Agent, whenever any Investor or the Collateral Agent has the right to declare any of the Obligations to be immediately due and payable (whether or not it has been so declared), the Collateral Agent, on its behalf and in its capacity as agent for the benefit of the Investors, at its sole election without notice to the undersigned may appropriate and set off against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and all indebtedness or other moneys due or to become due the Company or to any Guarantor by any Investor or the Collateral Agent in any capacity and whether arising out of or related to the Transaction Documents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credits or other property belonging to the Company or any Guarantor (including all account balances, whether provisional or final and whether or not collected or available) at any time held by or coming into the possession of any Investor or the Collateral Agent, or any Affiliate of any Investor or the Collateral Agent, whether for deposit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whether or not then due and owing, and the applicable Investor or the Collateral Agent, as applicable, shall be deemed to have exercised such right of set off immediately at the time of such election even though any charge therefore is made or entered on such Investor’s or the Collateral Agent’s records subsequent thereto. The Collateral Agent agrees to notify such Guarantor in a reasonable time of any such set-off; however, failure of the Collateral Agent to so notify such Guarantor shall not affect the validity of any set-off.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Guarantor’s obligation hereunder is to pay the Obligations in full in cash when due according to this Guarantee, the Note, the other Transaction Documents, and any other agreements, documents and instruments governing the Obligations to the extent provided herein, and shall not be affected by any stay or extension of time for payment for the benefit of the Company or any other Guarantor resulting from any proceeding under the Bankruptcy Code or any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course of dealing between the Company or any Guarantor, on the one hand, and an Investor or the Collateral Agent, on the other hand, and no act, delay or omission by an Investors or the Collateral Agent in exercising any right or remedy hereunder or with respect to any of the Obligations shall operate as a waiver thereof or of any other right or remedy, and no single or partial exercise thereof shall preclude any other or further exercise thereof or the exercise of any other right or remedy. The rights and remedies of each Investor and the Collateral Agent hereunder are cumulative and may be exercised singly or concurrently, and are not exclusive of any rights and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Guarantee shall inure to the benefit of the parties hereto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Collateral Agent may assign its rights hereunder, in which event such assignee shall be deemed to be the Collateral Agent hereunder with respect to such assigned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Captions of the sections of this Guarantee are solely for the convenience of the parties hereto, and are not an aid in the interpretation of this Guarantee and do not constitute part of the agreement of the parties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any provision of this Guarantee is unenforceable in whole or in part for any reason, the remaining provisions shall continue to be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approvals, requests, demands and other communications hereunder shall be delivered or made in the manner set forth in, and shall be effective in accordance with the terms of, the Purchase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communication shall be effective as to any Guarantor if made or sent to the Company in accordance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i w:val="false"/>
          <w:caps w:val="false"/>
          <w:smallCaps w:val="false"/>
          <w:sz w:val="20"/>
          <w:u w:val="single"/>
        </w:rPr>
        <w:t>Waivers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Each Guarantor waives the benefit of all valuation, appraisal and exemption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Upon the occurrence of a default or Event of Default, each Guarantor hereby waives all rights to notice and hearing of any kind prior to the exercise by any Investor or the Collateral Agent, on its behalf and in its capacity as agent for the benefit of the Investors, of its rights to repossess the Collateral without judicial process or to replevy, attach or levy upon the Collateral without prior notice or hearing. Each Guarantor acknowledges that it has been advised by counsel of its choice with respect to this transaction and this 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Each Guarantor waives its rights to a trial by jury of any claim or cause of action based upon or arising out of or related to this guaranty, or the other transaction documents, in any action, proceeding or other litigation of any type brought by any Investor or the Collateral Agent. Each Guarantor agrees that any such claim or cause of action shall be tried by a court without a jury. Without limiting the foregoing, each guarantor further agrees that its right to a trial by jury is waived by operation of this section as to any action, counterclaim or other proceeding which seeks, in whole or in part, to challenge the validity or enforceability of this Guarantee or any provision hereof. This waiver shall apply to any subsequent amendments, renewals, supplements or modifications to this 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The terms and provisions of the Security Agreement which set forth the indemnifications to which the Collateral Agent is entitled are hereby incorporated by reference herein 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Counterparts; Headings.</w:t>
      </w:r>
      <w:r>
        <w:rPr>
          <w:rFonts w:ascii="Times New Roman;Times;Serif" w:hAnsi="Times New Roman;Times;Serif"/>
          <w:b w:val="false"/>
          <w:i w:val="false"/>
          <w:caps w:val="false"/>
          <w:smallCaps w:val="false"/>
          <w:sz w:val="20"/>
        </w:rPr>
        <w:t xml:space="preserve"> This Guarantee may be executed in two or more identical counterparts, all of which together shall be considered one and the same agreement and shall become effective when counterparts have been signed by each party and delivered to each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facsimile, .pdf or similar electronically transmitted signature shall be considered due execution and shall be binding upon the signatory thereto with the same force and effect as if the signature were an original signature. The headings in this Guarantee are for convenience of reference only and shall not alter or otherwise affect the meaning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Governing Law; Exclusive Jurisdiction</w:t>
      </w:r>
      <w:r>
        <w:rPr>
          <w:rFonts w:ascii="Times New Roman;Times;Serif" w:hAnsi="Times New Roman;Times;Serif"/>
          <w:b w:val="false"/>
          <w:i w:val="false"/>
          <w:caps w:val="false"/>
          <w:smallCaps w:val="false"/>
          <w:sz w:val="20"/>
        </w:rPr>
        <w:t>. All questions concerning the construction, validity, enforcement and interpretation of this Guarantee shall be governed by and construed and enforced in accordance with the Purchase Agreement, and all legal Actions concerning the interpretations, enforcement and defense of the transactions contemplated by this Guarantee shall be commenced and litigated only as provided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Company and the Guarantors have executed this Guarantee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1313"/>
        <w:gridCol w:w="2321"/>
        <w:gridCol w:w="75"/>
      </w:tblGrid>
      <w:tr>
        <w:trPr/>
        <w:tc>
          <w:tcPr>
            <w:tcW w:w="3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Baird Medical Investment Holdings Limited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2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caps w:val="false"/>
                <w:smallCaps w:val="false"/>
              </w:rPr>
            </w:pPr>
            <w:r>
              <w:rPr>
                <w:caps w:val="false"/>
                <w:smallCaps w:val="false"/>
              </w:rPr>
              <w:t> </w:t>
            </w:r>
          </w:p>
        </w:tc>
        <w:tc>
          <w:tcPr>
            <w:tcW w:w="2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caps w:val="false"/>
                <w:smallCaps w:val="false"/>
              </w:rPr>
            </w:pPr>
            <w:r>
              <w:rPr>
                <w:caps w:val="false"/>
                <w:smallCaps w:val="false"/>
              </w:rPr>
              <w:t> </w:t>
            </w:r>
          </w:p>
        </w:tc>
        <w:tc>
          <w:tcPr>
            <w:tcW w:w="2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2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caps w:val="false"/>
                <w:smallCaps w:val="false"/>
              </w:rPr>
            </w:pPr>
            <w:r>
              <w:rPr>
                <w:caps w:val="false"/>
                <w:smallCaps w:val="false"/>
              </w:rPr>
              <w:t> </w:t>
            </w:r>
          </w:p>
        </w:tc>
        <w:tc>
          <w:tcPr>
            <w:tcW w:w="2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caps w:val="false"/>
                <w:smallCaps w:val="false"/>
              </w:rPr>
            </w:pPr>
            <w:r>
              <w:rPr>
                <w:caps w:val="false"/>
                <w:smallCaps w:val="false"/>
              </w:rPr>
              <w:t> </w:t>
            </w:r>
          </w:p>
        </w:tc>
        <w:tc>
          <w:tcPr>
            <w:tcW w:w="2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2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caps w:val="false"/>
                <w:smallCaps w:val="false"/>
              </w:rPr>
            </w:pPr>
            <w:r>
              <w:rPr>
                <w:caps w:val="false"/>
                <w:smallCaps w:val="false"/>
              </w:rPr>
              <w:t> </w:t>
            </w:r>
          </w:p>
        </w:tc>
        <w:tc>
          <w:tcPr>
            <w:tcW w:w="2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caps w:val="false"/>
                <w:smallCaps w:val="false"/>
              </w:rPr>
            </w:pPr>
            <w:r>
              <w:rPr>
                <w:caps w:val="false"/>
                <w:smallCaps w:val="false"/>
              </w:rPr>
              <w:t> </w:t>
            </w:r>
          </w:p>
        </w:tc>
        <w:tc>
          <w:tcPr>
            <w:tcW w:w="2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2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caps w:val="false"/>
                <w:smallCaps w:val="false"/>
              </w:rPr>
            </w:pPr>
            <w:r>
              <w:rPr>
                <w:caps w:val="false"/>
                <w:smallCaps w:val="false"/>
              </w:rPr>
              <w:t> </w:t>
            </w:r>
          </w:p>
        </w:tc>
        <w:tc>
          <w:tcPr>
            <w:tcW w:w="2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caps w:val="false"/>
                <w:smallCaps w:val="false"/>
              </w:rPr>
            </w:pPr>
            <w:r>
              <w:rPr>
                <w:caps w:val="false"/>
                <w:smallCaps w:val="false"/>
              </w:rPr>
              <w:t> </w:t>
            </w:r>
          </w:p>
        </w:tc>
        <w:tc>
          <w:tcPr>
            <w:tcW w:w="2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2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caps w:val="false"/>
                <w:smallCaps w:val="false"/>
              </w:rPr>
            </w:pPr>
            <w:r>
              <w:rPr>
                <w:caps w:val="false"/>
                <w:smallCaps w:val="false"/>
              </w:rPr>
              <w:t> </w:t>
            </w:r>
          </w:p>
        </w:tc>
        <w:tc>
          <w:tcPr>
            <w:tcW w:w="2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1313" w:type="dxa"/>
            <w:tcBorders/>
            <w:vAlign w:val="center"/>
          </w:tcPr>
          <w:p>
            <w:pPr>
              <w:pStyle w:val="TableContents"/>
              <w:bidi w:val="0"/>
              <w:spacing w:before="0" w:after="283"/>
              <w:jc w:val="left"/>
              <w:rPr>
                <w:caps w:val="false"/>
                <w:smallCaps w:val="false"/>
              </w:rPr>
            </w:pPr>
            <w:r>
              <w:rPr>
                <w:caps w:val="false"/>
                <w:smallCaps w:val="false"/>
              </w:rPr>
              <w:t> </w:t>
            </w:r>
          </w:p>
        </w:tc>
        <w:tc>
          <w:tcPr>
            <w:tcW w:w="2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Guarantee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335"/>
        <w:gridCol w:w="545"/>
        <w:gridCol w:w="75"/>
      </w:tblGrid>
      <w:tr>
        <w:trPr/>
        <w:tc>
          <w:tcPr>
            <w:tcW w:w="8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tc>
        <w:tc>
          <w:tcPr>
            <w:tcW w:w="75" w:type="dxa"/>
            <w:tcBorders/>
            <w:vAlign w:val="center"/>
          </w:tcPr>
          <w:p>
            <w:pPr>
              <w:pStyle w:val="TableContents"/>
              <w:bidi w:val="0"/>
              <w:spacing w:before="0" w:after="283"/>
              <w:jc w:val="left"/>
              <w:rPr/>
            </w:pPr>
            <w:r>
              <w:rPr/>
              <w:t> </w:t>
            </w:r>
          </w:p>
        </w:tc>
      </w:tr>
      <w:tr>
        <w:trPr/>
        <w:tc>
          <w:tcPr>
            <w:tcW w:w="8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r>
        <w:trPr/>
        <w:tc>
          <w:tcPr>
            <w:tcW w:w="8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tc>
        <w:tc>
          <w:tcPr>
            <w:tcW w:w="75" w:type="dxa"/>
            <w:tcBorders/>
            <w:vAlign w:val="center"/>
          </w:tcPr>
          <w:p>
            <w:pPr>
              <w:pStyle w:val="TableContents"/>
              <w:bidi w:val="0"/>
              <w:spacing w:before="0" w:after="283"/>
              <w:jc w:val="left"/>
              <w:rPr/>
            </w:pPr>
            <w:r>
              <w:rPr/>
              <w:t> </w:t>
            </w:r>
          </w:p>
        </w:tc>
      </w:tr>
      <w:tr>
        <w:trPr/>
        <w:tc>
          <w:tcPr>
            <w:tcW w:w="8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Guarantee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74" w:type="dxa"/>
        <w:jc w:val="left"/>
        <w:tblInd w:w="0" w:type="dxa"/>
        <w:tblLayout w:type="fixed"/>
        <w:tblCellMar>
          <w:top w:w="0" w:type="dxa"/>
          <w:left w:w="0" w:type="dxa"/>
          <w:bottom w:w="0" w:type="dxa"/>
          <w:right w:w="0" w:type="dxa"/>
        </w:tblCellMar>
      </w:tblPr>
      <w:tblGrid>
        <w:gridCol w:w="75"/>
        <w:gridCol w:w="853"/>
        <w:gridCol w:w="246"/>
      </w:tblGrid>
      <w:tr>
        <w:trPr/>
        <w:tc>
          <w:tcPr>
            <w:tcW w:w="75"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w:t>
            </w:r>
          </w:p>
        </w:tc>
      </w:tr>
      <w:tr>
        <w:trPr/>
        <w:tc>
          <w:tcPr>
            <w:tcW w:w="75"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tc>
      </w:tr>
      <w:tr>
        <w:trPr/>
        <w:tc>
          <w:tcPr>
            <w:tcW w:w="75"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0593/000110465922099623/tm2225148-1_f3.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77845</Words>
  <Characters>407999</Characters>
  <CharactersWithSpaces>492036</CharactersWithSpaces>
  <Paragraphs>2811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